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CD3527" w:rsidRDefault="00CD3527">
      <w:pPr>
        <w:pStyle w:val="Title"/>
      </w:pPr>
      <w:bookmarkStart w:id="0" w:name="_heading=h.gjdgxs" w:colFirst="0" w:colLast="0"/>
      <w:bookmarkEnd w:id="0"/>
    </w:p>
    <w:p w14:paraId="00000002" w14:textId="77777777" w:rsidR="00CD3527" w:rsidRDefault="00CD3527">
      <w:pPr>
        <w:pBdr>
          <w:top w:val="nil"/>
          <w:left w:val="nil"/>
          <w:bottom w:val="nil"/>
          <w:right w:val="nil"/>
          <w:between w:val="nil"/>
        </w:pBdr>
        <w:rPr>
          <w:rFonts w:ascii="Cambria" w:eastAsia="Cambria" w:hAnsi="Cambria" w:cs="Cambria"/>
          <w:color w:val="000000"/>
        </w:rPr>
      </w:pPr>
    </w:p>
    <w:p w14:paraId="00000003" w14:textId="77777777" w:rsidR="00CD3527" w:rsidRDefault="00CD3527">
      <w:pPr>
        <w:pStyle w:val="Title"/>
      </w:pPr>
    </w:p>
    <w:p w14:paraId="00000004" w14:textId="77777777" w:rsidR="00CD3527" w:rsidRDefault="007F4AED">
      <w:pPr>
        <w:pStyle w:val="Title"/>
      </w:pPr>
      <w:bookmarkStart w:id="1" w:name="_heading=h.30j0zll" w:colFirst="0" w:colLast="0"/>
      <w:bookmarkEnd w:id="1"/>
      <w:r>
        <w:t>DOCTORAL PROGRAM IN CLINICAL PSYCHOLOGY</w:t>
      </w:r>
    </w:p>
    <w:p w14:paraId="00000005" w14:textId="77777777" w:rsidR="00CD3527" w:rsidRDefault="007F4AED">
      <w:pPr>
        <w:pStyle w:val="Title"/>
      </w:pPr>
      <w:r>
        <w:t>TEACHERS COLLEGE, COLUMBIA UNIVERSITY</w:t>
      </w:r>
    </w:p>
    <w:p w14:paraId="00000006" w14:textId="77777777" w:rsidR="00CD3527" w:rsidRDefault="00CD3527">
      <w:pPr>
        <w:pBdr>
          <w:top w:val="nil"/>
          <w:left w:val="nil"/>
          <w:bottom w:val="nil"/>
          <w:right w:val="nil"/>
          <w:between w:val="nil"/>
        </w:pBdr>
        <w:rPr>
          <w:rFonts w:ascii="Cambria" w:eastAsia="Cambria" w:hAnsi="Cambria" w:cs="Cambria"/>
          <w:color w:val="000000"/>
        </w:rPr>
      </w:pPr>
      <w:bookmarkStart w:id="2" w:name="_heading=h.1fob9te" w:colFirst="0" w:colLast="0"/>
      <w:bookmarkEnd w:id="2"/>
    </w:p>
    <w:p w14:paraId="00000007" w14:textId="77777777" w:rsidR="00CD3527" w:rsidRDefault="007F4AED">
      <w:pPr>
        <w:pStyle w:val="Title"/>
      </w:pPr>
      <w:r>
        <w:t>STUDENT HANDBOOK</w:t>
      </w:r>
    </w:p>
    <w:p w14:paraId="00000008" w14:textId="7633DF5C" w:rsidR="00CD3527" w:rsidRDefault="007F4AED">
      <w:pPr>
        <w:pStyle w:val="Title"/>
      </w:pPr>
      <w:bookmarkStart w:id="3" w:name="_heading=h.3znysh7" w:colFirst="0" w:colLast="0"/>
      <w:bookmarkEnd w:id="3"/>
      <w:r>
        <w:t>202</w:t>
      </w:r>
      <w:r w:rsidR="00F070C2">
        <w:t>4</w:t>
      </w:r>
      <w:r>
        <w:t>-202</w:t>
      </w:r>
      <w:r w:rsidR="00F070C2">
        <w:t>5</w:t>
      </w:r>
    </w:p>
    <w:p w14:paraId="00000009" w14:textId="77777777" w:rsidR="00CD3527" w:rsidRDefault="00CD3527">
      <w:pPr>
        <w:pBdr>
          <w:top w:val="nil"/>
          <w:left w:val="nil"/>
          <w:bottom w:val="nil"/>
          <w:right w:val="nil"/>
          <w:between w:val="nil"/>
        </w:pBdr>
        <w:rPr>
          <w:rFonts w:ascii="Cambria" w:eastAsia="Cambria" w:hAnsi="Cambria" w:cs="Cambria"/>
          <w:color w:val="000000"/>
        </w:rPr>
      </w:pPr>
    </w:p>
    <w:p w14:paraId="0000000A" w14:textId="77777777" w:rsidR="00CD3527" w:rsidRDefault="00CD3527">
      <w:pPr>
        <w:pBdr>
          <w:top w:val="nil"/>
          <w:left w:val="nil"/>
          <w:bottom w:val="nil"/>
          <w:right w:val="nil"/>
          <w:between w:val="nil"/>
        </w:pBdr>
        <w:tabs>
          <w:tab w:val="left" w:pos="980"/>
          <w:tab w:val="left" w:pos="2160"/>
          <w:tab w:val="left" w:pos="2960"/>
          <w:tab w:val="left" w:pos="3780"/>
          <w:tab w:val="left" w:pos="7380"/>
          <w:tab w:val="left" w:pos="8000"/>
          <w:tab w:val="left" w:pos="8639"/>
        </w:tabs>
        <w:rPr>
          <w:rFonts w:ascii="Cambria" w:eastAsia="Cambria" w:hAnsi="Cambria" w:cs="Cambria"/>
          <w:color w:val="000000"/>
          <w:u w:val="single"/>
        </w:rPr>
      </w:pPr>
    </w:p>
    <w:p w14:paraId="0000000B" w14:textId="77777777" w:rsidR="00CD3527" w:rsidRDefault="00CD3527">
      <w:pPr>
        <w:pStyle w:val="Heading1"/>
      </w:pPr>
    </w:p>
    <w:p w14:paraId="0000000C" w14:textId="77777777" w:rsidR="00CD3527" w:rsidRDefault="007F4AED">
      <w:pPr>
        <w:pStyle w:val="Heading1"/>
        <w:jc w:val="center"/>
      </w:pPr>
      <w:bookmarkStart w:id="4" w:name="_heading=h.2et92p0" w:colFirst="0" w:colLast="0"/>
      <w:bookmarkEnd w:id="4"/>
      <w:r>
        <w:rPr>
          <w:noProof/>
        </w:rPr>
        <w:drawing>
          <wp:inline distT="0" distB="0" distL="0" distR="0" wp14:anchorId="1B995025" wp14:editId="63A448FF">
            <wp:extent cx="4597400" cy="3443287"/>
            <wp:effectExtent l="0" t="0" r="0" b="0"/>
            <wp:docPr id="2" name="image2.jpg" descr="TC.jpeg"/>
            <wp:cNvGraphicFramePr/>
            <a:graphic xmlns:a="http://schemas.openxmlformats.org/drawingml/2006/main">
              <a:graphicData uri="http://schemas.openxmlformats.org/drawingml/2006/picture">
                <pic:pic xmlns:pic="http://schemas.openxmlformats.org/drawingml/2006/picture">
                  <pic:nvPicPr>
                    <pic:cNvPr id="0" name="image2.jpg" descr="TC.jpeg"/>
                    <pic:cNvPicPr preferRelativeResize="0"/>
                  </pic:nvPicPr>
                  <pic:blipFill>
                    <a:blip r:embed="rId8"/>
                    <a:srcRect/>
                    <a:stretch>
                      <a:fillRect/>
                    </a:stretch>
                  </pic:blipFill>
                  <pic:spPr>
                    <a:xfrm>
                      <a:off x="0" y="0"/>
                      <a:ext cx="4597400" cy="3443287"/>
                    </a:xfrm>
                    <a:prstGeom prst="rect">
                      <a:avLst/>
                    </a:prstGeom>
                    <a:ln/>
                  </pic:spPr>
                </pic:pic>
              </a:graphicData>
            </a:graphic>
          </wp:inline>
        </w:drawing>
      </w:r>
      <w:r>
        <w:br w:type="page"/>
      </w:r>
      <w:r>
        <w:lastRenderedPageBreak/>
        <w:t>Welcome</w:t>
      </w:r>
    </w:p>
    <w:p w14:paraId="0000000D"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We welcome you to a new academic year and hope that it will be a productive, enjoyable, and enriching one for you. </w:t>
      </w:r>
    </w:p>
    <w:p w14:paraId="0000000E" w14:textId="77777777" w:rsidR="00CD3527" w:rsidRDefault="00CD3527">
      <w:pPr>
        <w:pBdr>
          <w:top w:val="nil"/>
          <w:left w:val="nil"/>
          <w:bottom w:val="nil"/>
          <w:right w:val="nil"/>
          <w:between w:val="nil"/>
        </w:pBdr>
        <w:rPr>
          <w:rFonts w:ascii="Cambria" w:eastAsia="Cambria" w:hAnsi="Cambria" w:cs="Cambria"/>
          <w:color w:val="000000"/>
        </w:rPr>
      </w:pPr>
    </w:p>
    <w:p w14:paraId="0000000F"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Our program’s designation as a scientist-practitioner model reflects our dedication to </w:t>
      </w:r>
      <w:r>
        <w:rPr>
          <w:rFonts w:ascii="Cambria" w:eastAsia="Cambria" w:hAnsi="Cambria" w:cs="Cambria"/>
          <w:b/>
          <w:color w:val="000000"/>
        </w:rPr>
        <w:t>training students to generate empirically-based knowledge in clinical psychology and to perform clinical work that is constantly informed by traditional and emerging scholarship in the field.</w:t>
      </w:r>
      <w:r>
        <w:rPr>
          <w:rFonts w:ascii="Cambria" w:eastAsia="Cambria" w:hAnsi="Cambria" w:cs="Cambria"/>
          <w:color w:val="000000"/>
        </w:rPr>
        <w:t xml:space="preserve"> We expect our students to learn to expertly produce, analyze, and discuss scientific material. </w:t>
      </w:r>
    </w:p>
    <w:p w14:paraId="00000010" w14:textId="77777777" w:rsidR="00CD3527" w:rsidRDefault="00CD3527">
      <w:pPr>
        <w:pBdr>
          <w:top w:val="nil"/>
          <w:left w:val="nil"/>
          <w:bottom w:val="nil"/>
          <w:right w:val="nil"/>
          <w:between w:val="nil"/>
        </w:pBdr>
        <w:rPr>
          <w:rFonts w:ascii="Cambria" w:eastAsia="Cambria" w:hAnsi="Cambria" w:cs="Cambria"/>
          <w:color w:val="000000"/>
        </w:rPr>
      </w:pPr>
    </w:p>
    <w:p w14:paraId="00000011" w14:textId="77777777" w:rsidR="00CD3527" w:rsidRDefault="007F4AED">
      <w:pPr>
        <w:pBdr>
          <w:top w:val="nil"/>
          <w:left w:val="nil"/>
          <w:bottom w:val="nil"/>
          <w:right w:val="nil"/>
          <w:between w:val="nil"/>
        </w:pBdr>
        <w:rPr>
          <w:rFonts w:ascii="Cambria" w:eastAsia="Cambria" w:hAnsi="Cambria" w:cs="Cambria"/>
          <w:b/>
          <w:color w:val="000000"/>
        </w:rPr>
      </w:pPr>
      <w:r>
        <w:rPr>
          <w:rFonts w:ascii="Cambria" w:eastAsia="Cambria" w:hAnsi="Cambria" w:cs="Cambria"/>
          <w:color w:val="000000"/>
        </w:rPr>
        <w:t xml:space="preserve">As our mission statement in the TC catalog notes, </w:t>
      </w:r>
      <w:r>
        <w:rPr>
          <w:rFonts w:ascii="Cambria" w:eastAsia="Cambria" w:hAnsi="Cambria" w:cs="Cambria"/>
          <w:b/>
          <w:i/>
          <w:color w:val="000000"/>
        </w:rPr>
        <w:t>“The driving goal of our Clinical Psychology Program is to provide rigorous training in both contemporary clinical science and clinical assessment and intervention.”</w:t>
      </w:r>
      <w:r>
        <w:rPr>
          <w:rFonts w:ascii="Cambria" w:eastAsia="Cambria" w:hAnsi="Cambria" w:cs="Cambria"/>
          <w:color w:val="000000"/>
        </w:rPr>
        <w:t xml:space="preserve"> We also expect our students to become proficient at providing clinical services to a diverse population. </w:t>
      </w:r>
      <w:r>
        <w:rPr>
          <w:rFonts w:ascii="Cambria" w:eastAsia="Cambria" w:hAnsi="Cambria" w:cs="Cambria"/>
          <w:b/>
          <w:color w:val="000000"/>
        </w:rPr>
        <w:t xml:space="preserve">And most importantly, we expect our students to learn to integrate these two goals. </w:t>
      </w:r>
    </w:p>
    <w:p w14:paraId="00000012" w14:textId="77777777" w:rsidR="00CD3527" w:rsidRDefault="00CD3527">
      <w:pPr>
        <w:pBdr>
          <w:top w:val="nil"/>
          <w:left w:val="nil"/>
          <w:bottom w:val="nil"/>
          <w:right w:val="nil"/>
          <w:between w:val="nil"/>
        </w:pBdr>
        <w:rPr>
          <w:rFonts w:ascii="Cambria" w:eastAsia="Cambria" w:hAnsi="Cambria" w:cs="Cambria"/>
          <w:color w:val="000000"/>
        </w:rPr>
      </w:pPr>
    </w:p>
    <w:p w14:paraId="00000013"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A good deal of the research training occurs through intensive participation in a research lab directed by a specific faculty advisor. Our faculty members are clinical research scholars whose expertise has been established nationally and internationally. Their respective academic foci cover a wide spectrum of research on determinants and trajectories of resilience, wellbeing, spirituality, psychopathology, and suicide; mechanism-informed psychotherapy development; psychotherapy process; health care disparities; and global mental health research and policy.  Our program is based on an advisorship model: through the core faculty labs and under the supervision provided by the core faculty members, students develop their scientific skills and begin to present their work at professional conferences and publish in professional academic journals. At the same time, each student is also part of a cohort of doctoral students with whom they learn, collaborate, and socialize. </w:t>
      </w:r>
    </w:p>
    <w:p w14:paraId="00000014" w14:textId="77777777" w:rsidR="00CD3527" w:rsidRDefault="00CD3527">
      <w:pPr>
        <w:pBdr>
          <w:top w:val="nil"/>
          <w:left w:val="nil"/>
          <w:bottom w:val="nil"/>
          <w:right w:val="nil"/>
          <w:between w:val="nil"/>
        </w:pBdr>
        <w:rPr>
          <w:rFonts w:ascii="Cambria" w:eastAsia="Cambria" w:hAnsi="Cambria" w:cs="Cambria"/>
          <w:color w:val="000000"/>
        </w:rPr>
      </w:pPr>
    </w:p>
    <w:p w14:paraId="00000015"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The clinical training for our students occurs primarily through the auspices of The Dean-Hope Center for Educational and Psychological Services (DHCEPS or “CEPS”, for short), our in-house community clinic that serves a wide diversity of patients, including those without insurance or requiring a sliding fee scale to afford treatment. Patients treated at the DHCEPS apply for services with a broad range of needs across multiple diagnostic categories; recently, the DHCEPS has begun to provide clinical services for veterans (i.e., the VITAL program) and their family members, and regularly collaborates with transition-to-school programs to support military veterans. </w:t>
      </w:r>
    </w:p>
    <w:p w14:paraId="00000016" w14:textId="77777777" w:rsidR="00CD3527" w:rsidRDefault="00CD3527">
      <w:pPr>
        <w:pBdr>
          <w:top w:val="nil"/>
          <w:left w:val="nil"/>
          <w:bottom w:val="nil"/>
          <w:right w:val="nil"/>
          <w:between w:val="nil"/>
        </w:pBdr>
        <w:rPr>
          <w:rFonts w:ascii="Cambria" w:eastAsia="Cambria" w:hAnsi="Cambria" w:cs="Cambria"/>
          <w:color w:val="000000"/>
        </w:rPr>
      </w:pPr>
    </w:p>
    <w:p w14:paraId="00000017"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There have been many exciting changes in the program over the past several years. New faculty have been hired—and additional psychotherapeutic approaches (e.g., Interpersonal Psychotherapy, Emotion-Regulation Therapy, Family Therapy, and Cognitive-Behavioral Therapy), have been added to our practicum options, taking their place alongside more traditional psychodynamic approaches.</w:t>
      </w:r>
    </w:p>
    <w:p w14:paraId="00000018"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 </w:t>
      </w:r>
    </w:p>
    <w:p w14:paraId="00000019"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lastRenderedPageBreak/>
        <w:t xml:space="preserve">We recognize the difficulties of affording a healthy work-life balance while engaging in clinical and research training in New York City. To ease some of this burden, and as a result of new policies at the College, virtually all admitted clinical doctoral students are now being offered full scholarships (tuition plus stipend) over their first four years of the program. Furthermore, greater and more structured training is provided in conducting research, learning to publish, and applying for external funding via research grants—the latter, an increasingly important skill. We are proud of supporting, through our scholarship programs, domestic and international students each year. Owing to this legacy of diversity and mental health research and policy development globally, we were bestowed with the </w:t>
      </w:r>
      <w:r>
        <w:rPr>
          <w:rFonts w:ascii="Cambria" w:eastAsia="Cambria" w:hAnsi="Cambria" w:cs="Cambria"/>
          <w:b/>
          <w:color w:val="000000"/>
        </w:rPr>
        <w:t>International Program Award, by APA’s Committee on International Relations in Psychology (CIRP),</w:t>
      </w:r>
      <w:r>
        <w:rPr>
          <w:rFonts w:ascii="Cambria" w:eastAsia="Cambria" w:hAnsi="Cambria" w:cs="Cambria"/>
          <w:color w:val="000000"/>
        </w:rPr>
        <w:t xml:space="preserve"> recognizing us for fostering international and global perspectives. We hope and expect that this degree of excellence will continue to be part of our program’s tradition. </w:t>
      </w:r>
    </w:p>
    <w:p w14:paraId="0000001A" w14:textId="77777777" w:rsidR="00CD3527" w:rsidRDefault="00CD3527">
      <w:pPr>
        <w:pBdr>
          <w:top w:val="nil"/>
          <w:left w:val="nil"/>
          <w:bottom w:val="nil"/>
          <w:right w:val="nil"/>
          <w:between w:val="nil"/>
        </w:pBdr>
        <w:rPr>
          <w:rFonts w:ascii="Cambria" w:eastAsia="Cambria" w:hAnsi="Cambria" w:cs="Cambria"/>
          <w:color w:val="000000"/>
        </w:rPr>
      </w:pPr>
    </w:p>
    <w:p w14:paraId="0000001B"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Our doctoral program in Clinical Psychology is fully accredited by the APA. Based upon the site visit and review of our program in the Spring of 2021, we were awarded “full ten-year accreditation”.  For general information about APA accreditation or specific information about the accreditation status of this program, please contact:</w:t>
      </w:r>
      <w:r>
        <w:rPr>
          <w:rFonts w:ascii="Cambria" w:eastAsia="Cambria" w:hAnsi="Cambria" w:cs="Cambria"/>
          <w:color w:val="000000"/>
        </w:rPr>
        <w:br/>
      </w:r>
    </w:p>
    <w:p w14:paraId="0000001C" w14:textId="77777777" w:rsidR="00CD3527" w:rsidRDefault="007F4AED">
      <w:pPr>
        <w:pBdr>
          <w:top w:val="nil"/>
          <w:left w:val="nil"/>
          <w:bottom w:val="nil"/>
          <w:right w:val="nil"/>
          <w:between w:val="nil"/>
        </w:pBdr>
        <w:jc w:val="center"/>
        <w:rPr>
          <w:rFonts w:ascii="Cambria" w:eastAsia="Cambria" w:hAnsi="Cambria" w:cs="Cambria"/>
          <w:color w:val="000000"/>
        </w:rPr>
      </w:pPr>
      <w:r>
        <w:rPr>
          <w:rFonts w:ascii="Cambria" w:eastAsia="Cambria" w:hAnsi="Cambria" w:cs="Cambria"/>
          <w:color w:val="000000"/>
        </w:rPr>
        <w:t>Jacqueline Romendet Wall Ph.D., Director</w:t>
      </w:r>
    </w:p>
    <w:p w14:paraId="0000001D" w14:textId="77777777" w:rsidR="00CD3527" w:rsidRDefault="007F4AED">
      <w:pPr>
        <w:pBdr>
          <w:top w:val="nil"/>
          <w:left w:val="nil"/>
          <w:bottom w:val="nil"/>
          <w:right w:val="nil"/>
          <w:between w:val="nil"/>
        </w:pBdr>
        <w:jc w:val="center"/>
        <w:rPr>
          <w:rFonts w:ascii="Cambria" w:eastAsia="Cambria" w:hAnsi="Cambria" w:cs="Cambria"/>
          <w:color w:val="000000"/>
        </w:rPr>
      </w:pPr>
      <w:r>
        <w:rPr>
          <w:rFonts w:ascii="Cambria" w:eastAsia="Cambria" w:hAnsi="Cambria" w:cs="Cambria"/>
          <w:color w:val="000000"/>
        </w:rPr>
        <w:t>Office of Program Consultation and Accreditation</w:t>
      </w:r>
      <w:r>
        <w:rPr>
          <w:rFonts w:ascii="Cambria" w:eastAsia="Cambria" w:hAnsi="Cambria" w:cs="Cambria"/>
          <w:color w:val="000000"/>
        </w:rPr>
        <w:br/>
        <w:t>American Psychological Association</w:t>
      </w:r>
      <w:r>
        <w:rPr>
          <w:rFonts w:ascii="Cambria" w:eastAsia="Cambria" w:hAnsi="Cambria" w:cs="Cambria"/>
          <w:color w:val="000000"/>
        </w:rPr>
        <w:br/>
        <w:t>750 First Street, NE, Washington, DC 20002-4242</w:t>
      </w:r>
    </w:p>
    <w:p w14:paraId="0000001E" w14:textId="77777777" w:rsidR="00CD3527" w:rsidRDefault="007F4AED">
      <w:pPr>
        <w:pBdr>
          <w:top w:val="nil"/>
          <w:left w:val="nil"/>
          <w:bottom w:val="nil"/>
          <w:right w:val="nil"/>
          <w:between w:val="nil"/>
        </w:pBdr>
        <w:ind w:left="1440" w:firstLine="720"/>
        <w:rPr>
          <w:rFonts w:ascii="Cambria" w:eastAsia="Cambria" w:hAnsi="Cambria" w:cs="Cambria"/>
          <w:color w:val="000000"/>
        </w:rPr>
      </w:pPr>
      <w:r>
        <w:rPr>
          <w:rFonts w:ascii="Cambria" w:eastAsia="Cambria" w:hAnsi="Cambria" w:cs="Cambria"/>
          <w:color w:val="000000"/>
        </w:rPr>
        <w:t>Phone: (202) 336-5979; Email: apa.accred@apa.org</w:t>
      </w:r>
    </w:p>
    <w:p w14:paraId="0000001F" w14:textId="77777777" w:rsidR="00CD3527" w:rsidRDefault="007F4AED">
      <w:pPr>
        <w:pBdr>
          <w:top w:val="nil"/>
          <w:left w:val="nil"/>
          <w:bottom w:val="nil"/>
          <w:right w:val="nil"/>
          <w:between w:val="nil"/>
        </w:pBdr>
        <w:jc w:val="center"/>
        <w:rPr>
          <w:rFonts w:ascii="Cambria" w:eastAsia="Cambria" w:hAnsi="Cambria" w:cs="Cambria"/>
          <w:color w:val="000000"/>
        </w:rPr>
      </w:pPr>
      <w:r>
        <w:rPr>
          <w:rFonts w:ascii="Cambria" w:eastAsia="Cambria" w:hAnsi="Cambria" w:cs="Cambria"/>
          <w:color w:val="000000"/>
        </w:rPr>
        <w:t xml:space="preserve">Website: </w:t>
      </w:r>
      <w:hyperlink r:id="rId9">
        <w:r>
          <w:rPr>
            <w:rFonts w:ascii="Cambria" w:eastAsia="Cambria" w:hAnsi="Cambria" w:cs="Cambria"/>
            <w:color w:val="0000FF"/>
            <w:u w:val="single"/>
          </w:rPr>
          <w:t>http://www.apa.org</w:t>
        </w:r>
      </w:hyperlink>
    </w:p>
    <w:p w14:paraId="00000020" w14:textId="77777777" w:rsidR="00CD3527" w:rsidRDefault="00CD3527">
      <w:pPr>
        <w:pBdr>
          <w:top w:val="nil"/>
          <w:left w:val="nil"/>
          <w:bottom w:val="nil"/>
          <w:right w:val="nil"/>
          <w:between w:val="nil"/>
        </w:pBdr>
        <w:rPr>
          <w:rFonts w:ascii="Cambria" w:eastAsia="Cambria" w:hAnsi="Cambria" w:cs="Cambria"/>
          <w:color w:val="000000"/>
        </w:rPr>
      </w:pPr>
    </w:p>
    <w:p w14:paraId="00000021"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Becoming familiar with this Handbook and referring to it when you have questions about requirements and procedures will make life easier for you and for the faculty. The Handbook is modified each year in an attempt to be clearer and more helpful, as well as to incorporate any changes necessitated by decisions of the Clinical Psychology Program, the Department of Counseling and Clinical Psychology, Teachers College, Columbia University, the New York State, or the American Psychological Association.</w:t>
      </w:r>
    </w:p>
    <w:p w14:paraId="00000022" w14:textId="77777777" w:rsidR="00CD3527" w:rsidRDefault="00CD3527">
      <w:pPr>
        <w:pBdr>
          <w:top w:val="nil"/>
          <w:left w:val="nil"/>
          <w:bottom w:val="nil"/>
          <w:right w:val="nil"/>
          <w:between w:val="nil"/>
        </w:pBdr>
        <w:rPr>
          <w:rFonts w:ascii="Cambria" w:eastAsia="Cambria" w:hAnsi="Cambria" w:cs="Cambria"/>
          <w:color w:val="000000"/>
        </w:rPr>
      </w:pPr>
    </w:p>
    <w:p w14:paraId="00000023" w14:textId="64F3F742"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Douglas Mennin </w:t>
      </w:r>
    </w:p>
    <w:p w14:paraId="00000024"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Matt Blanchard (Director of the clinical MA program)</w:t>
      </w:r>
    </w:p>
    <w:p w14:paraId="00000025"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George Bonanno </w:t>
      </w:r>
    </w:p>
    <w:p w14:paraId="00000026" w14:textId="709F4532"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Christine Cha</w:t>
      </w:r>
      <w:r w:rsidR="00F95C94">
        <w:rPr>
          <w:rFonts w:ascii="Cambria" w:eastAsia="Cambria" w:hAnsi="Cambria" w:cs="Cambria"/>
          <w:color w:val="000000"/>
        </w:rPr>
        <w:t xml:space="preserve"> (Honorary Associate Research Professor)</w:t>
      </w:r>
    </w:p>
    <w:p w14:paraId="00000027" w14:textId="6083BD98"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Barry A. Farber</w:t>
      </w:r>
      <w:r w:rsidR="006D141E">
        <w:rPr>
          <w:rFonts w:ascii="Cambria" w:eastAsia="Cambria" w:hAnsi="Cambria" w:cs="Cambria"/>
          <w:color w:val="000000"/>
        </w:rPr>
        <w:t xml:space="preserve"> (Co-Director of Clinical Training (DCT)</w:t>
      </w:r>
      <w:r>
        <w:rPr>
          <w:rFonts w:ascii="Cambria" w:eastAsia="Cambria" w:hAnsi="Cambria" w:cs="Cambria"/>
          <w:color w:val="000000"/>
        </w:rPr>
        <w:t xml:space="preserve"> </w:t>
      </w:r>
    </w:p>
    <w:p w14:paraId="00000028"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Ayorkor Gaba</w:t>
      </w:r>
    </w:p>
    <w:p w14:paraId="00000029"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Lisa Miller</w:t>
      </w:r>
    </w:p>
    <w:p w14:paraId="0000002A"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Dinelia Rosa (Director, Dean Hope Center)</w:t>
      </w:r>
    </w:p>
    <w:p w14:paraId="45DB4304" w14:textId="6B646008" w:rsidR="006D141E" w:rsidRDefault="007F4AED" w:rsidP="006D141E">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Lena Verdeli</w:t>
      </w:r>
      <w:r w:rsidR="006D141E">
        <w:rPr>
          <w:rFonts w:ascii="Cambria" w:eastAsia="Cambria" w:hAnsi="Cambria" w:cs="Cambria"/>
          <w:color w:val="000000"/>
        </w:rPr>
        <w:t xml:space="preserve"> (Co-Director of Clinical Training (DCT) </w:t>
      </w:r>
    </w:p>
    <w:p w14:paraId="0000002B" w14:textId="07A6D65C"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br/>
      </w:r>
    </w:p>
    <w:p w14:paraId="0000002C" w14:textId="77777777" w:rsidR="00CD3527" w:rsidRDefault="00CD3527">
      <w:pPr>
        <w:pBdr>
          <w:top w:val="nil"/>
          <w:left w:val="nil"/>
          <w:bottom w:val="nil"/>
          <w:right w:val="nil"/>
          <w:between w:val="nil"/>
        </w:pBdr>
        <w:rPr>
          <w:rFonts w:ascii="Cambria" w:eastAsia="Cambria" w:hAnsi="Cambria" w:cs="Cambria"/>
          <w:color w:val="000000"/>
        </w:rPr>
      </w:pPr>
    </w:p>
    <w:bookmarkStart w:id="5" w:name="_heading=h.tyjcwt" w:colFirst="0" w:colLast="0"/>
    <w:bookmarkEnd w:id="5"/>
    <w:p w14:paraId="0000002D" w14:textId="77777777" w:rsidR="00CD3527" w:rsidRDefault="009052E7">
      <w:pPr>
        <w:pStyle w:val="Heading1"/>
      </w:pPr>
      <w:sdt>
        <w:sdtPr>
          <w:tag w:val="goog_rdk_0"/>
          <w:id w:val="369419547"/>
        </w:sdtPr>
        <w:sdtEndPr/>
        <w:sdtContent/>
      </w:sdt>
      <w:r w:rsidR="007F4AED">
        <w:t>Table of Contents</w:t>
      </w:r>
    </w:p>
    <w:p w14:paraId="0000002E" w14:textId="77777777" w:rsidR="00CD3527" w:rsidRDefault="00CD3527">
      <w:pPr>
        <w:pBdr>
          <w:top w:val="nil"/>
          <w:left w:val="nil"/>
          <w:bottom w:val="nil"/>
          <w:right w:val="nil"/>
          <w:between w:val="nil"/>
        </w:pBdr>
        <w:rPr>
          <w:rFonts w:ascii="Cambria" w:eastAsia="Cambria" w:hAnsi="Cambria" w:cs="Cambria"/>
          <w:color w:val="000000"/>
        </w:rPr>
      </w:pPr>
    </w:p>
    <w:p w14:paraId="0000002F" w14:textId="77777777" w:rsidR="00CD3527" w:rsidRDefault="007F4AED">
      <w:pPr>
        <w:pBdr>
          <w:top w:val="nil"/>
          <w:left w:val="nil"/>
          <w:bottom w:val="nil"/>
          <w:right w:val="nil"/>
          <w:between w:val="nil"/>
        </w:pBdr>
        <w:tabs>
          <w:tab w:val="right" w:pos="9350"/>
        </w:tabs>
        <w:spacing w:after="100"/>
        <w:rPr>
          <w:rFonts w:ascii="Cambria" w:eastAsia="Cambria" w:hAnsi="Cambria" w:cs="Cambria"/>
          <w:color w:val="000000"/>
        </w:rPr>
      </w:pPr>
      <w:bookmarkStart w:id="6" w:name="_heading=h.3dy6vkm" w:colFirst="0" w:colLast="0"/>
      <w:bookmarkEnd w:id="6"/>
      <w:r>
        <w:rPr>
          <w:rFonts w:ascii="Cambria" w:eastAsia="Cambria" w:hAnsi="Cambria" w:cs="Cambria"/>
          <w:color w:val="000000"/>
        </w:rPr>
        <w:t>Institutional Structure</w:t>
      </w:r>
      <w:r>
        <w:rPr>
          <w:rFonts w:ascii="Cambria" w:eastAsia="Cambria" w:hAnsi="Cambria" w:cs="Cambria"/>
          <w:color w:val="000000"/>
        </w:rPr>
        <w:tab/>
        <w:t>5</w:t>
      </w:r>
    </w:p>
    <w:sdt>
      <w:sdtPr>
        <w:id w:val="525605885"/>
        <w:docPartObj>
          <w:docPartGallery w:val="Table of Contents"/>
          <w:docPartUnique/>
        </w:docPartObj>
      </w:sdtPr>
      <w:sdtEndPr/>
      <w:sdtContent>
        <w:p w14:paraId="00000030" w14:textId="77777777" w:rsidR="00CD3527" w:rsidRDefault="007F4AED">
          <w:pPr>
            <w:pBdr>
              <w:top w:val="nil"/>
              <w:left w:val="nil"/>
              <w:bottom w:val="nil"/>
              <w:right w:val="nil"/>
              <w:between w:val="nil"/>
            </w:pBdr>
            <w:tabs>
              <w:tab w:val="right" w:pos="9350"/>
            </w:tabs>
            <w:spacing w:after="100"/>
            <w:rPr>
              <w:rFonts w:ascii="Cambria" w:eastAsia="Cambria" w:hAnsi="Cambria" w:cs="Cambria"/>
              <w:color w:val="000000"/>
            </w:rPr>
          </w:pPr>
          <w:r>
            <w:fldChar w:fldCharType="begin"/>
          </w:r>
          <w:r>
            <w:instrText xml:space="preserve"> TOC \h \u \z \t "Heading 1,1,Heading 2,2,Heading 3,3,Heading 4,4,Heading 5,5,Heading 6,6,"</w:instrText>
          </w:r>
          <w:r>
            <w:fldChar w:fldCharType="separate"/>
          </w:r>
          <w:r>
            <w:rPr>
              <w:rFonts w:ascii="Cambria" w:eastAsia="Cambria" w:hAnsi="Cambria" w:cs="Cambria"/>
              <w:color w:val="000000"/>
            </w:rPr>
            <w:t>An Overview of the College and the Program</w:t>
          </w:r>
          <w:r>
            <w:rPr>
              <w:rFonts w:ascii="Cambria" w:eastAsia="Cambria" w:hAnsi="Cambria" w:cs="Cambria"/>
              <w:color w:val="000000"/>
            </w:rPr>
            <w:tab/>
          </w:r>
          <w:r>
            <w:fldChar w:fldCharType="begin"/>
          </w:r>
          <w:r>
            <w:instrText xml:space="preserve"> HYPERLINK \l "_heading=h.4d34og8" </w:instrText>
          </w:r>
          <w:r>
            <w:fldChar w:fldCharType="separate"/>
          </w:r>
          <w:r>
            <w:rPr>
              <w:rFonts w:ascii="Cambria" w:eastAsia="Cambria" w:hAnsi="Cambria" w:cs="Cambria"/>
              <w:color w:val="000000"/>
            </w:rPr>
            <w:t>6</w:t>
          </w:r>
        </w:p>
        <w:p w14:paraId="00000031" w14:textId="77777777" w:rsidR="00CD3527" w:rsidRDefault="007F4AED">
          <w:pPr>
            <w:pBdr>
              <w:top w:val="nil"/>
              <w:left w:val="nil"/>
              <w:bottom w:val="nil"/>
              <w:right w:val="nil"/>
              <w:between w:val="nil"/>
            </w:pBdr>
            <w:tabs>
              <w:tab w:val="right" w:pos="9350"/>
            </w:tabs>
            <w:spacing w:after="100"/>
            <w:rPr>
              <w:rFonts w:ascii="Cambria" w:eastAsia="Cambria" w:hAnsi="Cambria" w:cs="Cambria"/>
              <w:color w:val="000000"/>
            </w:rPr>
          </w:pPr>
          <w:r>
            <w:fldChar w:fldCharType="end"/>
          </w:r>
          <w:r>
            <w:rPr>
              <w:rFonts w:ascii="Cambria" w:eastAsia="Cambria" w:hAnsi="Cambria" w:cs="Cambria"/>
              <w:color w:val="000000"/>
            </w:rPr>
            <w:t>Faculty and Staff</w:t>
          </w:r>
          <w:r>
            <w:rPr>
              <w:rFonts w:ascii="Cambria" w:eastAsia="Cambria" w:hAnsi="Cambria" w:cs="Cambria"/>
              <w:color w:val="000000"/>
            </w:rPr>
            <w:tab/>
          </w:r>
          <w:r>
            <w:fldChar w:fldCharType="begin"/>
          </w:r>
          <w:r>
            <w:instrText xml:space="preserve"> HYPERLINK \l "_heading=h.2s8eyo1" </w:instrText>
          </w:r>
          <w:r>
            <w:fldChar w:fldCharType="separate"/>
          </w:r>
          <w:r>
            <w:rPr>
              <w:rFonts w:ascii="Cambria" w:eastAsia="Cambria" w:hAnsi="Cambria" w:cs="Cambria"/>
              <w:color w:val="000000"/>
            </w:rPr>
            <w:t>8</w:t>
          </w:r>
        </w:p>
        <w:p w14:paraId="00000032" w14:textId="77777777" w:rsidR="00CD3527" w:rsidRDefault="007F4AED">
          <w:pPr>
            <w:pBdr>
              <w:top w:val="nil"/>
              <w:left w:val="nil"/>
              <w:bottom w:val="nil"/>
              <w:right w:val="nil"/>
              <w:between w:val="nil"/>
            </w:pBdr>
            <w:tabs>
              <w:tab w:val="right" w:pos="9350"/>
            </w:tabs>
            <w:spacing w:after="100"/>
            <w:rPr>
              <w:rFonts w:ascii="Cambria" w:eastAsia="Cambria" w:hAnsi="Cambria" w:cs="Cambria"/>
              <w:color w:val="000000"/>
            </w:rPr>
          </w:pPr>
          <w:r>
            <w:fldChar w:fldCharType="end"/>
          </w:r>
          <w:r>
            <w:rPr>
              <w:rFonts w:ascii="Cambria" w:eastAsia="Cambria" w:hAnsi="Cambria" w:cs="Cambria"/>
              <w:color w:val="000000"/>
            </w:rPr>
            <w:t>Program Philosophy and Model</w:t>
          </w:r>
          <w:r>
            <w:rPr>
              <w:rFonts w:ascii="Cambria" w:eastAsia="Cambria" w:hAnsi="Cambria" w:cs="Cambria"/>
              <w:color w:val="000000"/>
            </w:rPr>
            <w:tab/>
          </w:r>
          <w:r>
            <w:fldChar w:fldCharType="begin"/>
          </w:r>
          <w:r>
            <w:instrText xml:space="preserve"> HYPERLINK \l "_heading=h.lnxbz9" </w:instrText>
          </w:r>
          <w:r>
            <w:fldChar w:fldCharType="separate"/>
          </w:r>
          <w:r>
            <w:rPr>
              <w:rFonts w:ascii="Cambria" w:eastAsia="Cambria" w:hAnsi="Cambria" w:cs="Cambria"/>
              <w:color w:val="000000"/>
            </w:rPr>
            <w:t>9</w:t>
          </w:r>
        </w:p>
        <w:p w14:paraId="00000033" w14:textId="77777777" w:rsidR="00CD3527" w:rsidRDefault="007F4AED">
          <w:pPr>
            <w:pBdr>
              <w:top w:val="nil"/>
              <w:left w:val="nil"/>
              <w:bottom w:val="nil"/>
              <w:right w:val="nil"/>
              <w:between w:val="nil"/>
            </w:pBdr>
            <w:tabs>
              <w:tab w:val="right" w:pos="9350"/>
            </w:tabs>
            <w:spacing w:after="120"/>
            <w:rPr>
              <w:rFonts w:ascii="Cambria" w:eastAsia="Cambria" w:hAnsi="Cambria" w:cs="Cambria"/>
              <w:color w:val="000000"/>
            </w:rPr>
          </w:pPr>
          <w:r>
            <w:fldChar w:fldCharType="end"/>
          </w:r>
          <w:r>
            <w:rPr>
              <w:rFonts w:ascii="Cambria" w:eastAsia="Cambria" w:hAnsi="Cambria" w:cs="Cambria"/>
              <w:color w:val="000000"/>
            </w:rPr>
            <w:t>Program Goals and Objectives</w:t>
          </w:r>
          <w:r>
            <w:rPr>
              <w:rFonts w:ascii="Cambria" w:eastAsia="Cambria" w:hAnsi="Cambria" w:cs="Cambria"/>
              <w:color w:val="000000"/>
            </w:rPr>
            <w:tab/>
          </w:r>
          <w:r>
            <w:fldChar w:fldCharType="begin"/>
          </w:r>
          <w:r>
            <w:instrText xml:space="preserve"> HYPERLINK \l "_heading=h.2jxsxqh" </w:instrText>
          </w:r>
          <w:r>
            <w:fldChar w:fldCharType="separate"/>
          </w:r>
          <w:r>
            <w:rPr>
              <w:rFonts w:ascii="Cambria" w:eastAsia="Cambria" w:hAnsi="Cambria" w:cs="Cambria"/>
              <w:color w:val="000000"/>
            </w:rPr>
            <w:t>11</w:t>
          </w:r>
        </w:p>
        <w:p w14:paraId="00000034" w14:textId="77777777" w:rsidR="00CD3527" w:rsidRDefault="007F4AED">
          <w:pPr>
            <w:spacing w:before="40" w:after="80"/>
            <w:rPr>
              <w:rFonts w:ascii="Cambria" w:eastAsia="Cambria" w:hAnsi="Cambria" w:cs="Cambria"/>
            </w:rPr>
          </w:pPr>
          <w:r>
            <w:fldChar w:fldCharType="end"/>
          </w:r>
          <w:r>
            <w:rPr>
              <w:rFonts w:ascii="Cambria" w:eastAsia="Cambria" w:hAnsi="Cambria" w:cs="Cambria"/>
            </w:rPr>
            <w:t>Evaluation of Student Competence</w:t>
          </w:r>
          <w:r>
            <w:rPr>
              <w:rFonts w:ascii="Cambria" w:eastAsia="Cambria" w:hAnsi="Cambria" w:cs="Cambria"/>
            </w:rPr>
            <w:tab/>
          </w:r>
          <w:r>
            <w:rPr>
              <w:rFonts w:ascii="Cambria" w:eastAsia="Cambria" w:hAnsi="Cambria" w:cs="Cambria"/>
            </w:rPr>
            <w:tab/>
          </w:r>
          <w:r>
            <w:rPr>
              <w:rFonts w:ascii="Cambria" w:eastAsia="Cambria" w:hAnsi="Cambria" w:cs="Cambria"/>
            </w:rPr>
            <w:tab/>
          </w:r>
          <w:r>
            <w:rPr>
              <w:rFonts w:ascii="Cambria" w:eastAsia="Cambria" w:hAnsi="Cambria" w:cs="Cambria"/>
            </w:rPr>
            <w:tab/>
          </w:r>
          <w:r>
            <w:rPr>
              <w:rFonts w:ascii="Cambria" w:eastAsia="Cambria" w:hAnsi="Cambria" w:cs="Cambria"/>
            </w:rPr>
            <w:tab/>
          </w:r>
          <w:r>
            <w:rPr>
              <w:rFonts w:ascii="Cambria" w:eastAsia="Cambria" w:hAnsi="Cambria" w:cs="Cambria"/>
            </w:rPr>
            <w:tab/>
          </w:r>
          <w:r>
            <w:rPr>
              <w:rFonts w:ascii="Cambria" w:eastAsia="Cambria" w:hAnsi="Cambria" w:cs="Cambria"/>
            </w:rPr>
            <w:tab/>
          </w:r>
          <w:r>
            <w:rPr>
              <w:rFonts w:ascii="Cambria" w:eastAsia="Cambria" w:hAnsi="Cambria" w:cs="Cambria"/>
            </w:rPr>
            <w:tab/>
            <w:t xml:space="preserve">14        </w:t>
          </w:r>
        </w:p>
        <w:p w14:paraId="00000035" w14:textId="77777777" w:rsidR="00CD3527" w:rsidRDefault="007F4AED">
          <w:pPr>
            <w:pBdr>
              <w:top w:val="nil"/>
              <w:left w:val="nil"/>
              <w:bottom w:val="nil"/>
              <w:right w:val="nil"/>
              <w:between w:val="nil"/>
            </w:pBdr>
            <w:tabs>
              <w:tab w:val="right" w:pos="9350"/>
            </w:tabs>
            <w:spacing w:after="100"/>
            <w:rPr>
              <w:rFonts w:ascii="Cambria" w:eastAsia="Cambria" w:hAnsi="Cambria" w:cs="Cambria"/>
              <w:color w:val="000000"/>
            </w:rPr>
          </w:pPr>
          <w:r>
            <w:rPr>
              <w:rFonts w:ascii="Cambria" w:eastAsia="Cambria" w:hAnsi="Cambria" w:cs="Cambria"/>
              <w:color w:val="000000"/>
            </w:rPr>
            <w:t>Sources of Regulation</w:t>
          </w:r>
          <w:r>
            <w:rPr>
              <w:rFonts w:ascii="Cambria" w:eastAsia="Cambria" w:hAnsi="Cambria" w:cs="Cambria"/>
              <w:color w:val="000000"/>
            </w:rPr>
            <w:tab/>
          </w:r>
          <w:r>
            <w:fldChar w:fldCharType="begin"/>
          </w:r>
          <w:r>
            <w:instrText xml:space="preserve"> HYPERLINK \l "_heading=h.z337ya" </w:instrText>
          </w:r>
          <w:r>
            <w:fldChar w:fldCharType="separate"/>
          </w:r>
          <w:r>
            <w:rPr>
              <w:rFonts w:ascii="Cambria" w:eastAsia="Cambria" w:hAnsi="Cambria" w:cs="Cambria"/>
              <w:color w:val="000000"/>
            </w:rPr>
            <w:t>17</w:t>
          </w:r>
        </w:p>
        <w:p w14:paraId="00000036" w14:textId="77777777" w:rsidR="00CD3527" w:rsidRDefault="007F4AED">
          <w:pPr>
            <w:pBdr>
              <w:top w:val="nil"/>
              <w:left w:val="nil"/>
              <w:bottom w:val="nil"/>
              <w:right w:val="nil"/>
              <w:between w:val="nil"/>
            </w:pBdr>
            <w:tabs>
              <w:tab w:val="right" w:pos="9350"/>
            </w:tabs>
            <w:spacing w:after="100"/>
            <w:rPr>
              <w:rFonts w:ascii="Cambria" w:eastAsia="Cambria" w:hAnsi="Cambria" w:cs="Cambria"/>
              <w:color w:val="000000"/>
            </w:rPr>
          </w:pPr>
          <w:r>
            <w:fldChar w:fldCharType="end"/>
          </w:r>
          <w:r>
            <w:rPr>
              <w:rFonts w:ascii="Cambria" w:eastAsia="Cambria" w:hAnsi="Cambria" w:cs="Cambria"/>
              <w:color w:val="000000"/>
            </w:rPr>
            <w:t>Facilities and Resources of the Clinical Psychology Program</w:t>
          </w:r>
          <w:r>
            <w:rPr>
              <w:rFonts w:ascii="Cambria" w:eastAsia="Cambria" w:hAnsi="Cambria" w:cs="Cambria"/>
              <w:color w:val="000000"/>
            </w:rPr>
            <w:tab/>
          </w:r>
          <w:r>
            <w:fldChar w:fldCharType="begin"/>
          </w:r>
          <w:r>
            <w:instrText xml:space="preserve"> HYPERLINK \l "_heading=h.1y810tw" </w:instrText>
          </w:r>
          <w:r>
            <w:fldChar w:fldCharType="separate"/>
          </w:r>
          <w:r>
            <w:rPr>
              <w:rFonts w:ascii="Cambria" w:eastAsia="Cambria" w:hAnsi="Cambria" w:cs="Cambria"/>
              <w:color w:val="000000"/>
            </w:rPr>
            <w:t>19</w:t>
          </w:r>
        </w:p>
        <w:p w14:paraId="00000037" w14:textId="77777777" w:rsidR="00CD3527" w:rsidRDefault="007F4AED">
          <w:pPr>
            <w:pBdr>
              <w:top w:val="nil"/>
              <w:left w:val="nil"/>
              <w:bottom w:val="nil"/>
              <w:right w:val="nil"/>
              <w:between w:val="nil"/>
            </w:pBdr>
            <w:tabs>
              <w:tab w:val="right" w:pos="9350"/>
            </w:tabs>
            <w:spacing w:after="100"/>
            <w:rPr>
              <w:rFonts w:ascii="Cambria" w:eastAsia="Cambria" w:hAnsi="Cambria" w:cs="Cambria"/>
              <w:color w:val="000000"/>
            </w:rPr>
          </w:pPr>
          <w:r>
            <w:fldChar w:fldCharType="end"/>
          </w:r>
          <w:r>
            <w:rPr>
              <w:rFonts w:ascii="Cambria" w:eastAsia="Cambria" w:hAnsi="Cambria" w:cs="Cambria"/>
              <w:color w:val="000000"/>
            </w:rPr>
            <w:t>College Policies</w:t>
          </w:r>
          <w:r>
            <w:rPr>
              <w:rFonts w:ascii="Cambria" w:eastAsia="Cambria" w:hAnsi="Cambria" w:cs="Cambria"/>
              <w:color w:val="000000"/>
            </w:rPr>
            <w:tab/>
          </w:r>
          <w:r>
            <w:fldChar w:fldCharType="begin"/>
          </w:r>
          <w:r>
            <w:instrText xml:space="preserve"> HYPERLINK \l "_heading=h.2xcytpi" </w:instrText>
          </w:r>
          <w:r>
            <w:fldChar w:fldCharType="separate"/>
          </w:r>
          <w:r>
            <w:rPr>
              <w:rFonts w:ascii="Cambria" w:eastAsia="Cambria" w:hAnsi="Cambria" w:cs="Cambria"/>
              <w:color w:val="000000"/>
            </w:rPr>
            <w:t>21</w:t>
          </w:r>
        </w:p>
        <w:p w14:paraId="00000038" w14:textId="77777777" w:rsidR="00CD3527" w:rsidRDefault="007F4AED">
          <w:pPr>
            <w:pBdr>
              <w:top w:val="nil"/>
              <w:left w:val="nil"/>
              <w:bottom w:val="nil"/>
              <w:right w:val="nil"/>
              <w:between w:val="nil"/>
            </w:pBdr>
            <w:tabs>
              <w:tab w:val="right" w:pos="9350"/>
            </w:tabs>
            <w:spacing w:after="100"/>
            <w:rPr>
              <w:rFonts w:ascii="Cambria" w:eastAsia="Cambria" w:hAnsi="Cambria" w:cs="Cambria"/>
              <w:color w:val="000000"/>
            </w:rPr>
          </w:pPr>
          <w:r>
            <w:fldChar w:fldCharType="end"/>
          </w:r>
          <w:r>
            <w:rPr>
              <w:rFonts w:ascii="Cambria" w:eastAsia="Cambria" w:hAnsi="Cambria" w:cs="Cambria"/>
              <w:color w:val="000000"/>
            </w:rPr>
            <w:t>Definitions of Roles</w:t>
          </w:r>
          <w:r>
            <w:rPr>
              <w:rFonts w:ascii="Cambria" w:eastAsia="Cambria" w:hAnsi="Cambria" w:cs="Cambria"/>
              <w:color w:val="000000"/>
            </w:rPr>
            <w:tab/>
          </w:r>
          <w:r>
            <w:fldChar w:fldCharType="begin"/>
          </w:r>
          <w:r>
            <w:instrText xml:space="preserve"> HYPERLINK \l "_heading=h.3whwml4" </w:instrText>
          </w:r>
          <w:r>
            <w:fldChar w:fldCharType="separate"/>
          </w:r>
          <w:r>
            <w:rPr>
              <w:rFonts w:ascii="Cambria" w:eastAsia="Cambria" w:hAnsi="Cambria" w:cs="Cambria"/>
              <w:color w:val="000000"/>
            </w:rPr>
            <w:t>23</w:t>
          </w:r>
        </w:p>
        <w:p w14:paraId="00000039" w14:textId="6B0E2AE8" w:rsidR="00CD3527" w:rsidRDefault="007F4AED">
          <w:pPr>
            <w:pBdr>
              <w:top w:val="nil"/>
              <w:left w:val="nil"/>
              <w:bottom w:val="nil"/>
              <w:right w:val="nil"/>
              <w:between w:val="nil"/>
            </w:pBdr>
            <w:tabs>
              <w:tab w:val="right" w:pos="9350"/>
            </w:tabs>
            <w:spacing w:after="100"/>
            <w:rPr>
              <w:rFonts w:ascii="Cambria" w:eastAsia="Cambria" w:hAnsi="Cambria" w:cs="Cambria"/>
              <w:color w:val="000000"/>
            </w:rPr>
          </w:pPr>
          <w:r>
            <w:fldChar w:fldCharType="end"/>
          </w:r>
          <w:r>
            <w:rPr>
              <w:rFonts w:ascii="Cambria" w:eastAsia="Cambria" w:hAnsi="Cambria" w:cs="Cambria"/>
              <w:color w:val="000000"/>
            </w:rPr>
            <w:t>Helpful Hints for Making Life Easier for Yourself and Others</w:t>
          </w:r>
          <w:r>
            <w:rPr>
              <w:rFonts w:ascii="Cambria" w:eastAsia="Cambria" w:hAnsi="Cambria" w:cs="Cambria"/>
              <w:color w:val="000000"/>
            </w:rPr>
            <w:tab/>
          </w:r>
          <w:r>
            <w:fldChar w:fldCharType="begin"/>
          </w:r>
          <w:r>
            <w:instrText xml:space="preserve"> HYPERLINK \l "_heading=h.2bn6wsx" </w:instrText>
          </w:r>
          <w:r>
            <w:fldChar w:fldCharType="separate"/>
          </w:r>
          <w:r>
            <w:rPr>
              <w:rFonts w:ascii="Cambria" w:eastAsia="Cambria" w:hAnsi="Cambria" w:cs="Cambria"/>
              <w:color w:val="000000"/>
            </w:rPr>
            <w:t>2</w:t>
          </w:r>
          <w:r w:rsidR="00C44B63">
            <w:rPr>
              <w:rFonts w:ascii="Cambria" w:eastAsia="Cambria" w:hAnsi="Cambria" w:cs="Cambria"/>
              <w:color w:val="000000"/>
            </w:rPr>
            <w:t>5</w:t>
          </w:r>
        </w:p>
        <w:p w14:paraId="0000003A" w14:textId="6B9E759F" w:rsidR="00CD3527" w:rsidRDefault="007F4AED">
          <w:pPr>
            <w:pBdr>
              <w:top w:val="nil"/>
              <w:left w:val="nil"/>
              <w:bottom w:val="nil"/>
              <w:right w:val="nil"/>
              <w:between w:val="nil"/>
            </w:pBdr>
            <w:tabs>
              <w:tab w:val="right" w:pos="9350"/>
            </w:tabs>
            <w:spacing w:after="100"/>
            <w:rPr>
              <w:rFonts w:ascii="Cambria" w:eastAsia="Cambria" w:hAnsi="Cambria" w:cs="Cambria"/>
              <w:color w:val="000000"/>
            </w:rPr>
          </w:pPr>
          <w:r>
            <w:fldChar w:fldCharType="end"/>
          </w:r>
          <w:r>
            <w:rPr>
              <w:rFonts w:ascii="Cambria" w:eastAsia="Cambria" w:hAnsi="Cambria" w:cs="Cambria"/>
              <w:color w:val="000000"/>
            </w:rPr>
            <w:t>Training Requirements, Milestones, and Typical Timeline</w:t>
          </w:r>
          <w:r>
            <w:rPr>
              <w:rFonts w:ascii="Cambria" w:eastAsia="Cambria" w:hAnsi="Cambria" w:cs="Cambria"/>
              <w:color w:val="000000"/>
            </w:rPr>
            <w:tab/>
          </w:r>
          <w:r>
            <w:fldChar w:fldCharType="begin"/>
          </w:r>
          <w:r>
            <w:instrText xml:space="preserve"> HYPERLINK \l "_heading=h.qsh70q" </w:instrText>
          </w:r>
          <w:r>
            <w:fldChar w:fldCharType="separate"/>
          </w:r>
          <w:r>
            <w:rPr>
              <w:rFonts w:ascii="Cambria" w:eastAsia="Cambria" w:hAnsi="Cambria" w:cs="Cambria"/>
              <w:color w:val="000000"/>
            </w:rPr>
            <w:t>3</w:t>
          </w:r>
          <w:r w:rsidR="00C44B63">
            <w:rPr>
              <w:rFonts w:ascii="Cambria" w:eastAsia="Cambria" w:hAnsi="Cambria" w:cs="Cambria"/>
              <w:color w:val="000000"/>
            </w:rPr>
            <w:t>1</w:t>
          </w:r>
        </w:p>
        <w:p w14:paraId="0000003B" w14:textId="34310AC1" w:rsidR="00CD3527" w:rsidRDefault="007F4AED">
          <w:pPr>
            <w:pBdr>
              <w:top w:val="nil"/>
              <w:left w:val="nil"/>
              <w:bottom w:val="nil"/>
              <w:right w:val="nil"/>
              <w:between w:val="nil"/>
            </w:pBdr>
            <w:tabs>
              <w:tab w:val="right" w:pos="9350"/>
            </w:tabs>
            <w:spacing w:after="100"/>
            <w:rPr>
              <w:rFonts w:ascii="Cambria" w:eastAsia="Cambria" w:hAnsi="Cambria" w:cs="Cambria"/>
              <w:color w:val="000000"/>
            </w:rPr>
          </w:pPr>
          <w:r>
            <w:fldChar w:fldCharType="end"/>
          </w:r>
          <w:r>
            <w:rPr>
              <w:rFonts w:ascii="Cambria" w:eastAsia="Cambria" w:hAnsi="Cambria" w:cs="Cambria"/>
              <w:color w:val="000000"/>
            </w:rPr>
            <w:t>FAQ (Frequently Asked Questions)</w:t>
          </w:r>
          <w:r>
            <w:rPr>
              <w:rFonts w:ascii="Cambria" w:eastAsia="Cambria" w:hAnsi="Cambria" w:cs="Cambria"/>
              <w:color w:val="000000"/>
            </w:rPr>
            <w:tab/>
          </w:r>
          <w:r>
            <w:fldChar w:fldCharType="begin"/>
          </w:r>
          <w:r>
            <w:instrText xml:space="preserve"> HYPERLINK \l "_heading=h.3as4poj" </w:instrText>
          </w:r>
          <w:r>
            <w:fldChar w:fldCharType="separate"/>
          </w:r>
          <w:r>
            <w:rPr>
              <w:rFonts w:ascii="Cambria" w:eastAsia="Cambria" w:hAnsi="Cambria" w:cs="Cambria"/>
              <w:color w:val="000000"/>
            </w:rPr>
            <w:t>3</w:t>
          </w:r>
          <w:r w:rsidR="00C44B63">
            <w:rPr>
              <w:rFonts w:ascii="Cambria" w:eastAsia="Cambria" w:hAnsi="Cambria" w:cs="Cambria"/>
              <w:color w:val="000000"/>
            </w:rPr>
            <w:t>3</w:t>
          </w:r>
        </w:p>
        <w:p w14:paraId="0000003C" w14:textId="0D2F7AFA" w:rsidR="00CD3527" w:rsidRDefault="007F4AED">
          <w:pPr>
            <w:pBdr>
              <w:top w:val="nil"/>
              <w:left w:val="nil"/>
              <w:bottom w:val="nil"/>
              <w:right w:val="nil"/>
              <w:between w:val="nil"/>
            </w:pBdr>
            <w:tabs>
              <w:tab w:val="right" w:pos="9350"/>
            </w:tabs>
            <w:spacing w:after="100"/>
            <w:rPr>
              <w:rFonts w:ascii="Cambria" w:eastAsia="Cambria" w:hAnsi="Cambria" w:cs="Cambria"/>
              <w:color w:val="000000"/>
            </w:rPr>
          </w:pPr>
          <w:r>
            <w:fldChar w:fldCharType="end"/>
          </w:r>
          <w:r>
            <w:rPr>
              <w:rFonts w:ascii="Cambria" w:eastAsia="Cambria" w:hAnsi="Cambria" w:cs="Cambria"/>
              <w:color w:val="000000"/>
            </w:rPr>
            <w:t>Writing Papers in Clinical Psychology</w:t>
          </w:r>
          <w:r>
            <w:rPr>
              <w:rFonts w:ascii="Cambria" w:eastAsia="Cambria" w:hAnsi="Cambria" w:cs="Cambria"/>
              <w:color w:val="000000"/>
            </w:rPr>
            <w:tab/>
            <w:t>3</w:t>
          </w:r>
          <w:r w:rsidR="00E51738">
            <w:rPr>
              <w:rFonts w:ascii="Cambria" w:eastAsia="Cambria" w:hAnsi="Cambria" w:cs="Cambria"/>
              <w:color w:val="000000"/>
            </w:rPr>
            <w:t>8</w:t>
          </w:r>
        </w:p>
        <w:p w14:paraId="0000003D" w14:textId="455B8C4B" w:rsidR="00CD3527" w:rsidRDefault="007F4AED">
          <w:pPr>
            <w:pBdr>
              <w:top w:val="nil"/>
              <w:left w:val="nil"/>
              <w:bottom w:val="nil"/>
              <w:right w:val="nil"/>
              <w:between w:val="nil"/>
            </w:pBdr>
            <w:tabs>
              <w:tab w:val="right" w:pos="9350"/>
            </w:tabs>
            <w:spacing w:after="100"/>
            <w:rPr>
              <w:rFonts w:ascii="Cambria" w:eastAsia="Cambria" w:hAnsi="Cambria" w:cs="Cambria"/>
              <w:color w:val="000000"/>
            </w:rPr>
          </w:pPr>
          <w:r>
            <w:rPr>
              <w:rFonts w:ascii="Cambria" w:eastAsia="Cambria" w:hAnsi="Cambria" w:cs="Cambria"/>
              <w:color w:val="000000"/>
            </w:rPr>
            <w:t>Course and Grade Information</w:t>
          </w:r>
          <w:r>
            <w:rPr>
              <w:rFonts w:ascii="Cambria" w:eastAsia="Cambria" w:hAnsi="Cambria" w:cs="Cambria"/>
              <w:color w:val="000000"/>
            </w:rPr>
            <w:tab/>
          </w:r>
          <w:r>
            <w:fldChar w:fldCharType="begin"/>
          </w:r>
          <w:r>
            <w:instrText xml:space="preserve"> HYPERLINK \l "_heading=h.1pxezwc" </w:instrText>
          </w:r>
          <w:r>
            <w:fldChar w:fldCharType="separate"/>
          </w:r>
          <w:r w:rsidR="00E51738">
            <w:rPr>
              <w:rFonts w:ascii="Cambria" w:eastAsia="Cambria" w:hAnsi="Cambria" w:cs="Cambria"/>
              <w:color w:val="000000"/>
            </w:rPr>
            <w:t>41</w:t>
          </w:r>
        </w:p>
        <w:p w14:paraId="0000003E" w14:textId="038EC90A" w:rsidR="00CD3527" w:rsidRDefault="007F4AED">
          <w:pPr>
            <w:pBdr>
              <w:top w:val="nil"/>
              <w:left w:val="nil"/>
              <w:bottom w:val="nil"/>
              <w:right w:val="nil"/>
              <w:between w:val="nil"/>
            </w:pBdr>
            <w:tabs>
              <w:tab w:val="right" w:pos="9350"/>
            </w:tabs>
            <w:spacing w:after="140"/>
            <w:rPr>
              <w:rFonts w:ascii="Cambria" w:eastAsia="Cambria" w:hAnsi="Cambria" w:cs="Cambria"/>
              <w:color w:val="000000"/>
            </w:rPr>
          </w:pPr>
          <w:r>
            <w:fldChar w:fldCharType="end"/>
          </w:r>
          <w:r>
            <w:rPr>
              <w:rFonts w:ascii="Cambria" w:eastAsia="Cambria" w:hAnsi="Cambria" w:cs="Cambria"/>
              <w:color w:val="000000"/>
            </w:rPr>
            <w:t>Grievances, Responsibilities, and Obligations</w:t>
          </w:r>
          <w:r>
            <w:rPr>
              <w:rFonts w:ascii="Cambria" w:eastAsia="Cambria" w:hAnsi="Cambria" w:cs="Cambria"/>
              <w:color w:val="000000"/>
            </w:rPr>
            <w:tab/>
          </w:r>
          <w:r>
            <w:fldChar w:fldCharType="begin"/>
          </w:r>
          <w:r>
            <w:instrText xml:space="preserve"> HYPERLINK \l "_heading=h.49x2ik5" </w:instrText>
          </w:r>
          <w:r>
            <w:fldChar w:fldCharType="separate"/>
          </w:r>
          <w:r>
            <w:rPr>
              <w:rFonts w:ascii="Cambria" w:eastAsia="Cambria" w:hAnsi="Cambria" w:cs="Cambria"/>
              <w:color w:val="000000"/>
            </w:rPr>
            <w:t>4</w:t>
          </w:r>
          <w:r w:rsidR="00E51738">
            <w:rPr>
              <w:rFonts w:ascii="Cambria" w:eastAsia="Cambria" w:hAnsi="Cambria" w:cs="Cambria"/>
              <w:color w:val="000000"/>
            </w:rPr>
            <w:t>7</w:t>
          </w:r>
        </w:p>
        <w:p w14:paraId="0000003F" w14:textId="32FB4120" w:rsidR="00CD3527" w:rsidRDefault="007F4AED">
          <w:pPr>
            <w:spacing w:before="40" w:after="80"/>
            <w:rPr>
              <w:rFonts w:ascii="Cambria" w:eastAsia="Cambria" w:hAnsi="Cambria" w:cs="Cambria"/>
            </w:rPr>
          </w:pPr>
          <w:r>
            <w:fldChar w:fldCharType="end"/>
          </w:r>
          <w:r>
            <w:rPr>
              <w:rFonts w:ascii="Cambria" w:eastAsia="Cambria" w:hAnsi="Cambria" w:cs="Cambria"/>
            </w:rPr>
            <w:t>Clinical Rotations</w:t>
          </w:r>
          <w:r>
            <w:rPr>
              <w:rFonts w:ascii="Cambria" w:eastAsia="Cambria" w:hAnsi="Cambria" w:cs="Cambria"/>
            </w:rPr>
            <w:tab/>
          </w:r>
          <w:r>
            <w:rPr>
              <w:rFonts w:ascii="Cambria" w:eastAsia="Cambria" w:hAnsi="Cambria" w:cs="Cambria"/>
            </w:rPr>
            <w:tab/>
          </w:r>
          <w:r>
            <w:rPr>
              <w:rFonts w:ascii="Cambria" w:eastAsia="Cambria" w:hAnsi="Cambria" w:cs="Cambria"/>
            </w:rPr>
            <w:tab/>
          </w:r>
          <w:r>
            <w:rPr>
              <w:rFonts w:ascii="Cambria" w:eastAsia="Cambria" w:hAnsi="Cambria" w:cs="Cambria"/>
            </w:rPr>
            <w:tab/>
          </w:r>
          <w:r>
            <w:rPr>
              <w:rFonts w:ascii="Cambria" w:eastAsia="Cambria" w:hAnsi="Cambria" w:cs="Cambria"/>
            </w:rPr>
            <w:tab/>
          </w:r>
          <w:r>
            <w:rPr>
              <w:rFonts w:ascii="Cambria" w:eastAsia="Cambria" w:hAnsi="Cambria" w:cs="Cambria"/>
            </w:rPr>
            <w:tab/>
          </w:r>
          <w:r>
            <w:rPr>
              <w:rFonts w:ascii="Cambria" w:eastAsia="Cambria" w:hAnsi="Cambria" w:cs="Cambria"/>
            </w:rPr>
            <w:tab/>
          </w:r>
          <w:r>
            <w:rPr>
              <w:rFonts w:ascii="Cambria" w:eastAsia="Cambria" w:hAnsi="Cambria" w:cs="Cambria"/>
            </w:rPr>
            <w:tab/>
          </w:r>
          <w:r>
            <w:rPr>
              <w:rFonts w:ascii="Cambria" w:eastAsia="Cambria" w:hAnsi="Cambria" w:cs="Cambria"/>
            </w:rPr>
            <w:tab/>
          </w:r>
          <w:r>
            <w:rPr>
              <w:rFonts w:ascii="Cambria" w:eastAsia="Cambria" w:hAnsi="Cambria" w:cs="Cambria"/>
            </w:rPr>
            <w:tab/>
          </w:r>
          <w:r w:rsidR="00E51738">
            <w:rPr>
              <w:rFonts w:ascii="Cambria" w:eastAsia="Cambria" w:hAnsi="Cambria" w:cs="Cambria"/>
            </w:rPr>
            <w:t>51</w:t>
          </w:r>
        </w:p>
        <w:p w14:paraId="00000040" w14:textId="12E430F1" w:rsidR="00CD3527" w:rsidRDefault="007F4AED">
          <w:pPr>
            <w:pBdr>
              <w:top w:val="nil"/>
              <w:left w:val="nil"/>
              <w:bottom w:val="nil"/>
              <w:right w:val="nil"/>
              <w:between w:val="nil"/>
            </w:pBdr>
            <w:tabs>
              <w:tab w:val="right" w:pos="9350"/>
            </w:tabs>
            <w:spacing w:after="100"/>
            <w:rPr>
              <w:rFonts w:ascii="Cambria" w:eastAsia="Cambria" w:hAnsi="Cambria" w:cs="Cambria"/>
              <w:color w:val="000000"/>
            </w:rPr>
          </w:pPr>
          <w:r>
            <w:rPr>
              <w:rFonts w:ascii="Cambria" w:eastAsia="Cambria" w:hAnsi="Cambria" w:cs="Cambria"/>
              <w:color w:val="000000"/>
            </w:rPr>
            <w:t>Points (Credits) in the Program: Assumptions and Models</w:t>
          </w:r>
          <w:r>
            <w:rPr>
              <w:rFonts w:ascii="Cambria" w:eastAsia="Cambria" w:hAnsi="Cambria" w:cs="Cambria"/>
              <w:color w:val="000000"/>
            </w:rPr>
            <w:tab/>
            <w:t>5</w:t>
          </w:r>
          <w:r w:rsidR="00E51738">
            <w:rPr>
              <w:rFonts w:ascii="Cambria" w:eastAsia="Cambria" w:hAnsi="Cambria" w:cs="Cambria"/>
            </w:rPr>
            <w:t>4</w:t>
          </w:r>
        </w:p>
        <w:p w14:paraId="00000041" w14:textId="70AAF4E0" w:rsidR="00CD3527" w:rsidRDefault="007F4AED">
          <w:pPr>
            <w:pBdr>
              <w:top w:val="nil"/>
              <w:left w:val="nil"/>
              <w:bottom w:val="nil"/>
              <w:right w:val="nil"/>
              <w:between w:val="nil"/>
            </w:pBdr>
            <w:tabs>
              <w:tab w:val="right" w:pos="9350"/>
            </w:tabs>
            <w:spacing w:after="100"/>
          </w:pPr>
          <w:r>
            <w:rPr>
              <w:rFonts w:ascii="Cambria" w:eastAsia="Cambria" w:hAnsi="Cambria" w:cs="Cambria"/>
              <w:color w:val="000000"/>
            </w:rPr>
            <w:t>Clinical Psychology Program Coursework Requirements</w:t>
          </w:r>
          <w:r>
            <w:rPr>
              <w:rFonts w:ascii="Cambria" w:eastAsia="Cambria" w:hAnsi="Cambria" w:cs="Cambria"/>
              <w:color w:val="000000"/>
            </w:rPr>
            <w:tab/>
          </w:r>
          <w:r w:rsidR="00E51738">
            <w:t>55</w:t>
          </w:r>
        </w:p>
        <w:p w14:paraId="00000042" w14:textId="68C9FDAA" w:rsidR="00CD3527" w:rsidRDefault="007F4AED">
          <w:pPr>
            <w:pBdr>
              <w:top w:val="nil"/>
              <w:left w:val="nil"/>
              <w:bottom w:val="nil"/>
              <w:right w:val="nil"/>
              <w:between w:val="nil"/>
            </w:pBdr>
            <w:tabs>
              <w:tab w:val="right" w:pos="9350"/>
            </w:tabs>
            <w:spacing w:after="100"/>
          </w:pPr>
          <w:r>
            <w:rPr>
              <w:rFonts w:ascii="Cambria" w:eastAsia="Cambria" w:hAnsi="Cambria" w:cs="Cambria"/>
              <w:color w:val="000000"/>
            </w:rPr>
            <w:t>The Second-Year Project</w:t>
          </w:r>
          <w:r>
            <w:rPr>
              <w:rFonts w:ascii="Cambria" w:eastAsia="Cambria" w:hAnsi="Cambria" w:cs="Cambria"/>
              <w:color w:val="000000"/>
            </w:rPr>
            <w:tab/>
          </w:r>
          <w:r w:rsidR="007D4DC9">
            <w:t>62</w:t>
          </w:r>
        </w:p>
        <w:p w14:paraId="00000043" w14:textId="0E902AA5" w:rsidR="00CD3527" w:rsidRDefault="007F4AED">
          <w:pPr>
            <w:pBdr>
              <w:top w:val="nil"/>
              <w:left w:val="nil"/>
              <w:bottom w:val="nil"/>
              <w:right w:val="nil"/>
              <w:between w:val="nil"/>
            </w:pBdr>
            <w:tabs>
              <w:tab w:val="right" w:pos="9350"/>
            </w:tabs>
            <w:spacing w:after="100"/>
          </w:pPr>
          <w:r>
            <w:rPr>
              <w:rFonts w:ascii="Cambria" w:eastAsia="Cambria" w:hAnsi="Cambria" w:cs="Cambria"/>
              <w:color w:val="000000"/>
            </w:rPr>
            <w:t>Externship</w:t>
          </w:r>
          <w:r>
            <w:rPr>
              <w:rFonts w:ascii="Cambria" w:eastAsia="Cambria" w:hAnsi="Cambria" w:cs="Cambria"/>
              <w:color w:val="000000"/>
            </w:rPr>
            <w:tab/>
          </w:r>
          <w:r>
            <w:t>6</w:t>
          </w:r>
          <w:r w:rsidR="00E51738">
            <w:t>7</w:t>
          </w:r>
        </w:p>
        <w:p w14:paraId="62EBE6E9" w14:textId="57B4C9AE" w:rsidR="007D4DC9" w:rsidRDefault="007F4AED">
          <w:pPr>
            <w:pBdr>
              <w:top w:val="nil"/>
              <w:left w:val="nil"/>
              <w:bottom w:val="nil"/>
              <w:right w:val="nil"/>
              <w:between w:val="nil"/>
            </w:pBdr>
            <w:tabs>
              <w:tab w:val="right" w:pos="9350"/>
            </w:tabs>
            <w:spacing w:after="100"/>
          </w:pPr>
          <w:r>
            <w:rPr>
              <w:rFonts w:ascii="Cambria" w:eastAsia="Cambria" w:hAnsi="Cambria" w:cs="Cambria"/>
              <w:color w:val="000000"/>
            </w:rPr>
            <w:t>Research Methods Examination</w:t>
          </w:r>
          <w:r>
            <w:rPr>
              <w:rFonts w:ascii="Cambria" w:eastAsia="Cambria" w:hAnsi="Cambria" w:cs="Cambria"/>
              <w:color w:val="000000"/>
            </w:rPr>
            <w:tab/>
          </w:r>
          <w:r w:rsidR="00C44B63">
            <w:t>72</w:t>
          </w:r>
          <w:r w:rsidR="007D4DC9">
            <w:t xml:space="preserve">   </w:t>
          </w:r>
        </w:p>
        <w:p w14:paraId="00000045" w14:textId="2EA09E76" w:rsidR="00CD3527" w:rsidRDefault="007F4AED">
          <w:pPr>
            <w:pBdr>
              <w:top w:val="nil"/>
              <w:left w:val="nil"/>
              <w:bottom w:val="nil"/>
              <w:right w:val="nil"/>
              <w:between w:val="nil"/>
            </w:pBdr>
            <w:tabs>
              <w:tab w:val="right" w:pos="9350"/>
            </w:tabs>
            <w:spacing w:after="100"/>
            <w:rPr>
              <w:rFonts w:ascii="Cambria" w:eastAsia="Cambria" w:hAnsi="Cambria" w:cs="Cambria"/>
              <w:color w:val="000000"/>
            </w:rPr>
          </w:pPr>
          <w:r>
            <w:rPr>
              <w:rFonts w:ascii="Cambria" w:eastAsia="Cambria" w:hAnsi="Cambria" w:cs="Cambria"/>
              <w:color w:val="000000"/>
            </w:rPr>
            <w:t>Case Conference Presentation</w:t>
          </w:r>
          <w:r>
            <w:rPr>
              <w:rFonts w:ascii="Cambria" w:eastAsia="Cambria" w:hAnsi="Cambria" w:cs="Cambria"/>
              <w:color w:val="000000"/>
            </w:rPr>
            <w:tab/>
            <w:t>7</w:t>
          </w:r>
          <w:r w:rsidR="00E51738">
            <w:rPr>
              <w:rFonts w:ascii="Cambria" w:eastAsia="Cambria" w:hAnsi="Cambria" w:cs="Cambria"/>
              <w:color w:val="000000"/>
            </w:rPr>
            <w:t>5</w:t>
          </w:r>
          <w:r>
            <w:fldChar w:fldCharType="begin"/>
          </w:r>
          <w:r>
            <w:instrText xml:space="preserve"> HYPERLINK \l "_heading=h.1egqt2p" </w:instrText>
          </w:r>
          <w:r>
            <w:fldChar w:fldCharType="separate"/>
          </w:r>
        </w:p>
        <w:p w14:paraId="00000046" w14:textId="58671D5E" w:rsidR="00CD3527" w:rsidRDefault="007F4AED">
          <w:pPr>
            <w:pBdr>
              <w:top w:val="nil"/>
              <w:left w:val="nil"/>
              <w:bottom w:val="nil"/>
              <w:right w:val="nil"/>
              <w:between w:val="nil"/>
            </w:pBdr>
            <w:tabs>
              <w:tab w:val="right" w:pos="9350"/>
            </w:tabs>
            <w:spacing w:after="100"/>
          </w:pPr>
          <w:r>
            <w:fldChar w:fldCharType="end"/>
          </w:r>
          <w:r>
            <w:rPr>
              <w:rFonts w:ascii="Cambria" w:eastAsia="Cambria" w:hAnsi="Cambria" w:cs="Cambria"/>
              <w:color w:val="000000"/>
            </w:rPr>
            <w:t>Useful Web Sites</w:t>
          </w:r>
          <w:r>
            <w:rPr>
              <w:rFonts w:ascii="Cambria" w:eastAsia="Cambria" w:hAnsi="Cambria" w:cs="Cambria"/>
              <w:color w:val="000000"/>
            </w:rPr>
            <w:tab/>
          </w:r>
          <w:r w:rsidR="00E51738">
            <w:t>91</w:t>
          </w:r>
        </w:p>
        <w:p w14:paraId="00000047" w14:textId="1ADC6C4E" w:rsidR="00CD3527" w:rsidRDefault="007F4AED">
          <w:pPr>
            <w:pBdr>
              <w:top w:val="nil"/>
              <w:left w:val="nil"/>
              <w:bottom w:val="nil"/>
              <w:right w:val="nil"/>
              <w:between w:val="nil"/>
            </w:pBdr>
            <w:tabs>
              <w:tab w:val="right" w:pos="9350"/>
            </w:tabs>
            <w:spacing w:after="100"/>
          </w:pPr>
          <w:r>
            <w:rPr>
              <w:rFonts w:ascii="Cambria" w:eastAsia="Cambria" w:hAnsi="Cambria" w:cs="Cambria"/>
              <w:color w:val="000000"/>
            </w:rPr>
            <w:t>APA Required Courses/ New York State Licensing Requirements</w:t>
          </w:r>
          <w:r>
            <w:rPr>
              <w:rFonts w:ascii="Cambria" w:eastAsia="Cambria" w:hAnsi="Cambria" w:cs="Cambria"/>
              <w:color w:val="000000"/>
            </w:rPr>
            <w:tab/>
          </w:r>
          <w:r w:rsidR="00E51738">
            <w:t>93</w:t>
          </w:r>
        </w:p>
        <w:p w14:paraId="7F8FB05F" w14:textId="01430835" w:rsidR="007D4DC9" w:rsidRDefault="007F4AED">
          <w:pPr>
            <w:pBdr>
              <w:top w:val="nil"/>
              <w:left w:val="nil"/>
              <w:bottom w:val="nil"/>
              <w:right w:val="nil"/>
              <w:between w:val="nil"/>
            </w:pBdr>
            <w:tabs>
              <w:tab w:val="right" w:pos="9350"/>
            </w:tabs>
            <w:spacing w:after="100"/>
          </w:pPr>
          <w:r>
            <w:rPr>
              <w:rFonts w:ascii="Cambria" w:eastAsia="Cambria" w:hAnsi="Cambria" w:cs="Cambria"/>
              <w:color w:val="000000"/>
            </w:rPr>
            <w:t>Standards of Accreditation for Doctoral Programs</w:t>
          </w:r>
          <w:r>
            <w:rPr>
              <w:rFonts w:ascii="Cambria" w:eastAsia="Cambria" w:hAnsi="Cambria" w:cs="Cambria"/>
              <w:color w:val="000000"/>
            </w:rPr>
            <w:tab/>
          </w:r>
          <w:r w:rsidR="00C44B63">
            <w:t>95</w:t>
          </w:r>
          <w:r w:rsidR="007D4DC9">
            <w:t xml:space="preserve">   </w:t>
          </w:r>
        </w:p>
        <w:p w14:paraId="00000049" w14:textId="47C58517" w:rsidR="00CD3527" w:rsidRDefault="007F4AED">
          <w:pPr>
            <w:pBdr>
              <w:top w:val="nil"/>
              <w:left w:val="nil"/>
              <w:bottom w:val="nil"/>
              <w:right w:val="nil"/>
              <w:between w:val="nil"/>
            </w:pBdr>
            <w:tabs>
              <w:tab w:val="right" w:pos="9350"/>
            </w:tabs>
            <w:spacing w:after="100"/>
            <w:rPr>
              <w:rFonts w:ascii="Cambria" w:eastAsia="Cambria" w:hAnsi="Cambria" w:cs="Cambria"/>
              <w:color w:val="000000"/>
            </w:rPr>
          </w:pPr>
          <w:r>
            <w:rPr>
              <w:rFonts w:ascii="Cambria" w:eastAsia="Cambria" w:hAnsi="Cambria" w:cs="Cambria"/>
              <w:color w:val="000000"/>
            </w:rPr>
            <w:t>Determining Authorship Credit</w:t>
          </w:r>
          <w:r>
            <w:rPr>
              <w:rFonts w:ascii="Cambria" w:eastAsia="Cambria" w:hAnsi="Cambria" w:cs="Cambria"/>
              <w:color w:val="000000"/>
            </w:rPr>
            <w:tab/>
          </w:r>
          <w:r>
            <w:fldChar w:fldCharType="begin"/>
          </w:r>
          <w:r>
            <w:instrText xml:space="preserve"> HYPERLINK \l "_heading=h.43ky6rz" </w:instrText>
          </w:r>
          <w:r>
            <w:fldChar w:fldCharType="separate"/>
          </w:r>
          <w:r>
            <w:rPr>
              <w:rFonts w:ascii="Cambria" w:eastAsia="Cambria" w:hAnsi="Cambria" w:cs="Cambria"/>
              <w:color w:val="000000"/>
            </w:rPr>
            <w:t>1</w:t>
          </w:r>
          <w:r w:rsidR="00E51738">
            <w:rPr>
              <w:rFonts w:ascii="Cambria" w:eastAsia="Cambria" w:hAnsi="Cambria" w:cs="Cambria"/>
              <w:color w:val="000000"/>
            </w:rPr>
            <w:t>11</w:t>
          </w:r>
        </w:p>
        <w:bookmarkStart w:id="7" w:name="_heading=h.1t3h5sf" w:colFirst="0" w:colLast="0"/>
        <w:bookmarkEnd w:id="7"/>
        <w:p w14:paraId="0000004A" w14:textId="77777777" w:rsidR="00CD3527" w:rsidRDefault="007F4AED">
          <w:pPr>
            <w:pBdr>
              <w:top w:val="nil"/>
              <w:left w:val="nil"/>
              <w:bottom w:val="nil"/>
              <w:right w:val="nil"/>
              <w:between w:val="nil"/>
            </w:pBdr>
            <w:rPr>
              <w:rFonts w:ascii="Cambria" w:eastAsia="Cambria" w:hAnsi="Cambria" w:cs="Cambria"/>
              <w:color w:val="000000"/>
            </w:rPr>
          </w:pPr>
          <w:r>
            <w:fldChar w:fldCharType="end"/>
          </w:r>
          <w:r>
            <w:fldChar w:fldCharType="end"/>
          </w:r>
        </w:p>
      </w:sdtContent>
    </w:sdt>
    <w:p w14:paraId="0000004B" w14:textId="77777777" w:rsidR="00CD3527" w:rsidRDefault="00CD3527">
      <w:pPr>
        <w:pBdr>
          <w:top w:val="nil"/>
          <w:left w:val="nil"/>
          <w:bottom w:val="nil"/>
          <w:right w:val="nil"/>
          <w:between w:val="nil"/>
        </w:pBdr>
        <w:rPr>
          <w:rFonts w:ascii="Cambria" w:eastAsia="Cambria" w:hAnsi="Cambria" w:cs="Cambria"/>
          <w:color w:val="000000"/>
        </w:rPr>
      </w:pPr>
    </w:p>
    <w:p w14:paraId="0000004C" w14:textId="77777777" w:rsidR="00CD3527" w:rsidRDefault="00CD3527">
      <w:pPr>
        <w:pBdr>
          <w:top w:val="nil"/>
          <w:left w:val="nil"/>
          <w:bottom w:val="nil"/>
          <w:right w:val="nil"/>
          <w:between w:val="nil"/>
        </w:pBdr>
        <w:rPr>
          <w:rFonts w:ascii="Cambria" w:eastAsia="Cambria" w:hAnsi="Cambria" w:cs="Cambria"/>
          <w:color w:val="000000"/>
        </w:rPr>
      </w:pPr>
    </w:p>
    <w:p w14:paraId="0000004D" w14:textId="77777777" w:rsidR="00CD3527" w:rsidRDefault="00CD3527">
      <w:pPr>
        <w:pBdr>
          <w:top w:val="nil"/>
          <w:left w:val="nil"/>
          <w:bottom w:val="nil"/>
          <w:right w:val="nil"/>
          <w:between w:val="nil"/>
        </w:pBdr>
        <w:rPr>
          <w:rFonts w:ascii="Cambria" w:eastAsia="Cambria" w:hAnsi="Cambria" w:cs="Cambria"/>
          <w:color w:val="000000"/>
        </w:rPr>
      </w:pPr>
    </w:p>
    <w:p w14:paraId="0000004E" w14:textId="77777777" w:rsidR="00CD3527" w:rsidRDefault="00CD3527">
      <w:pPr>
        <w:pBdr>
          <w:top w:val="nil"/>
          <w:left w:val="nil"/>
          <w:bottom w:val="nil"/>
          <w:right w:val="nil"/>
          <w:between w:val="nil"/>
        </w:pBdr>
        <w:rPr>
          <w:rFonts w:ascii="Cambria" w:eastAsia="Cambria" w:hAnsi="Cambria" w:cs="Cambria"/>
          <w:color w:val="000000"/>
        </w:rPr>
      </w:pPr>
    </w:p>
    <w:p w14:paraId="0000004F" w14:textId="77777777" w:rsidR="00CD3527" w:rsidRDefault="00CD3527">
      <w:pPr>
        <w:pBdr>
          <w:top w:val="nil"/>
          <w:left w:val="nil"/>
          <w:bottom w:val="nil"/>
          <w:right w:val="nil"/>
          <w:between w:val="nil"/>
        </w:pBdr>
        <w:rPr>
          <w:rFonts w:ascii="Cambria" w:eastAsia="Cambria" w:hAnsi="Cambria" w:cs="Cambria"/>
          <w:b/>
          <w:color w:val="000000"/>
          <w:sz w:val="28"/>
          <w:szCs w:val="28"/>
        </w:rPr>
      </w:pPr>
    </w:p>
    <w:p w14:paraId="00000050" w14:textId="77777777" w:rsidR="00CD3527" w:rsidRDefault="007F4AED">
      <w:pPr>
        <w:pBdr>
          <w:top w:val="nil"/>
          <w:left w:val="nil"/>
          <w:bottom w:val="nil"/>
          <w:right w:val="nil"/>
          <w:between w:val="nil"/>
        </w:pBdr>
        <w:jc w:val="center"/>
        <w:rPr>
          <w:rFonts w:ascii="Cambria" w:eastAsia="Cambria" w:hAnsi="Cambria" w:cs="Cambria"/>
          <w:color w:val="000000"/>
        </w:rPr>
      </w:pPr>
      <w:bookmarkStart w:id="8" w:name="_heading=h.4d34og8" w:colFirst="0" w:colLast="0"/>
      <w:bookmarkEnd w:id="8"/>
      <w:r>
        <w:rPr>
          <w:rFonts w:ascii="Cambria" w:eastAsia="Cambria" w:hAnsi="Cambria" w:cs="Cambria"/>
          <w:b/>
          <w:color w:val="000000"/>
          <w:sz w:val="32"/>
          <w:szCs w:val="32"/>
        </w:rPr>
        <w:lastRenderedPageBreak/>
        <w:t>INSTITUTIONAL STRUCTURE</w:t>
      </w:r>
      <w:r>
        <w:rPr>
          <w:noProof/>
        </w:rPr>
        <w:drawing>
          <wp:anchor distT="0" distB="0" distL="114300" distR="114300" simplePos="0" relativeHeight="251658240" behindDoc="0" locked="0" layoutInCell="1" hidden="0" allowOverlap="1" wp14:anchorId="30914943" wp14:editId="50B45506">
            <wp:simplePos x="0" y="0"/>
            <wp:positionH relativeFrom="column">
              <wp:posOffset>-914398</wp:posOffset>
            </wp:positionH>
            <wp:positionV relativeFrom="paragraph">
              <wp:posOffset>371475</wp:posOffset>
            </wp:positionV>
            <wp:extent cx="6308090" cy="6410325"/>
            <wp:effectExtent l="0" t="0" r="0" b="0"/>
            <wp:wrapSquare wrapText="bothSides" distT="0" distB="0" distL="114300" distR="114300"/>
            <wp:docPr id="1"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0"/>
                    <a:srcRect/>
                    <a:stretch>
                      <a:fillRect/>
                    </a:stretch>
                  </pic:blipFill>
                  <pic:spPr>
                    <a:xfrm>
                      <a:off x="0" y="0"/>
                      <a:ext cx="6308090" cy="6410325"/>
                    </a:xfrm>
                    <a:prstGeom prst="rect">
                      <a:avLst/>
                    </a:prstGeom>
                    <a:ln/>
                  </pic:spPr>
                </pic:pic>
              </a:graphicData>
            </a:graphic>
          </wp:anchor>
        </w:drawing>
      </w:r>
    </w:p>
    <w:p w14:paraId="00000051" w14:textId="77777777" w:rsidR="00CD3527" w:rsidRDefault="00CD3527">
      <w:pPr>
        <w:pStyle w:val="Heading1"/>
      </w:pPr>
    </w:p>
    <w:p w14:paraId="00000052" w14:textId="77777777" w:rsidR="00CD3527" w:rsidRDefault="00CD3527">
      <w:pPr>
        <w:pBdr>
          <w:top w:val="nil"/>
          <w:left w:val="nil"/>
          <w:bottom w:val="nil"/>
          <w:right w:val="nil"/>
          <w:between w:val="nil"/>
        </w:pBdr>
        <w:rPr>
          <w:rFonts w:ascii="Times" w:eastAsia="Times" w:hAnsi="Times" w:cs="Times"/>
          <w:color w:val="000000"/>
        </w:rPr>
      </w:pPr>
    </w:p>
    <w:p w14:paraId="00000053" w14:textId="77777777" w:rsidR="00CD3527" w:rsidRDefault="00CD3527">
      <w:pPr>
        <w:pBdr>
          <w:top w:val="nil"/>
          <w:left w:val="nil"/>
          <w:bottom w:val="nil"/>
          <w:right w:val="nil"/>
          <w:between w:val="nil"/>
        </w:pBdr>
        <w:rPr>
          <w:rFonts w:ascii="Times" w:eastAsia="Times" w:hAnsi="Times" w:cs="Times"/>
          <w:color w:val="000000"/>
        </w:rPr>
      </w:pPr>
    </w:p>
    <w:p w14:paraId="00000054" w14:textId="77777777" w:rsidR="00CD3527" w:rsidRDefault="00CD3527">
      <w:pPr>
        <w:pBdr>
          <w:top w:val="nil"/>
          <w:left w:val="nil"/>
          <w:bottom w:val="nil"/>
          <w:right w:val="nil"/>
          <w:between w:val="nil"/>
        </w:pBdr>
        <w:rPr>
          <w:rFonts w:ascii="Times" w:eastAsia="Times" w:hAnsi="Times" w:cs="Times"/>
          <w:color w:val="000000"/>
        </w:rPr>
      </w:pPr>
    </w:p>
    <w:p w14:paraId="00000055" w14:textId="77777777" w:rsidR="00CD3527" w:rsidRDefault="007F4AED">
      <w:pPr>
        <w:pStyle w:val="Heading1"/>
      </w:pPr>
      <w:r>
        <w:lastRenderedPageBreak/>
        <w:t>An Overview of the College and the Program</w:t>
      </w:r>
    </w:p>
    <w:p w14:paraId="00000056" w14:textId="77777777" w:rsidR="00CD3527" w:rsidRDefault="00CD3527">
      <w:pPr>
        <w:pBdr>
          <w:top w:val="nil"/>
          <w:left w:val="nil"/>
          <w:bottom w:val="nil"/>
          <w:right w:val="nil"/>
          <w:between w:val="nil"/>
        </w:pBdr>
        <w:rPr>
          <w:rFonts w:ascii="Cambria" w:eastAsia="Cambria" w:hAnsi="Cambria" w:cs="Cambria"/>
          <w:color w:val="000000"/>
        </w:rPr>
      </w:pPr>
    </w:p>
    <w:p w14:paraId="00000057"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We would like to provide you with an overview of the historical and structural context within which our program operates. Teachers College (TC) is Columbia University’s Graduate School of Psychology, Education and Health. Founded in 1887 to provide a new kind of schooling for the teachers of poor, immigrant children in New York City, TC to date has educated over 100,000 students from around the world. TC became affiliated with Columbia in 1898 but remains a financially independent institution with its own president and Board of Trustees. All of Columbia University’s facilities are open to TC students. The College is accredited by the Middle States Commission on Higher Education, our regional accrediting agency. The President of Teachers College (since July 1</w:t>
      </w:r>
      <w:r>
        <w:rPr>
          <w:rFonts w:ascii="Cambria" w:eastAsia="Cambria" w:hAnsi="Cambria" w:cs="Cambria"/>
          <w:color w:val="000000"/>
          <w:vertAlign w:val="superscript"/>
        </w:rPr>
        <w:t>st</w:t>
      </w:r>
      <w:r>
        <w:rPr>
          <w:rFonts w:ascii="Cambria" w:eastAsia="Cambria" w:hAnsi="Cambria" w:cs="Cambria"/>
          <w:color w:val="000000"/>
        </w:rPr>
        <w:t xml:space="preserve">, 2018) is Thomas R. Bailey, Ph.D. The Dean of Academic Affairs (and Provost) is KerryAnn O’Meara, Ph.D. (since July 1, 2023). The president of Columbia University (since July 1, 2023) is Minouche Shafikr, Ph.D. </w:t>
      </w:r>
    </w:p>
    <w:p w14:paraId="00000058"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br/>
        <w:t xml:space="preserve">Today, approximately 5,000 students study at TC; about 44% are students of color and over 77% are women. International students account for about 13% of TC’s enrollment. About one third of students are in teacher preparation programs, with the balance studying for careers in administration, policy, research, and teaching in fields ranging across education, health, and psychology. Psychology constitutes one of the largest disciplines at the College, with programs in school psychology, developmental psychology, social and organizational psychology, counseling psychology, and, of course, clinical psychology. </w:t>
      </w:r>
      <w:r>
        <w:rPr>
          <w:rFonts w:ascii="Cambria" w:eastAsia="Cambria" w:hAnsi="Cambria" w:cs="Cambria"/>
          <w:color w:val="222222"/>
          <w:highlight w:val="white"/>
        </w:rPr>
        <w:t>As of 2019, we have</w:t>
      </w:r>
      <w:r>
        <w:rPr>
          <w:rFonts w:ascii="Cambria" w:eastAsia="Cambria" w:hAnsi="Cambria" w:cs="Cambria"/>
          <w:b/>
          <w:color w:val="222222"/>
          <w:highlight w:val="white"/>
        </w:rPr>
        <w:t xml:space="preserve"> 47 full-time Psychology faculty members, and 13 lecturers and instructors, </w:t>
      </w:r>
      <w:r>
        <w:rPr>
          <w:rFonts w:ascii="Cambria" w:eastAsia="Cambria" w:hAnsi="Cambria" w:cs="Cambria"/>
          <w:color w:val="222222"/>
          <w:highlight w:val="white"/>
        </w:rPr>
        <w:t>constituting more than a third of TC faculty. We also have a total of </w:t>
      </w:r>
      <w:r>
        <w:rPr>
          <w:rFonts w:ascii="Cambria" w:eastAsia="Cambria" w:hAnsi="Cambria" w:cs="Cambria"/>
          <w:b/>
          <w:color w:val="222222"/>
          <w:highlight w:val="white"/>
        </w:rPr>
        <w:t>147 affiliated</w:t>
      </w:r>
      <w:r>
        <w:rPr>
          <w:rFonts w:ascii="Cambria" w:eastAsia="Cambria" w:hAnsi="Cambria" w:cs="Cambria"/>
          <w:color w:val="222222"/>
          <w:highlight w:val="white"/>
        </w:rPr>
        <w:t> practicing psychologists and clinical researchers. About </w:t>
      </w:r>
      <w:r>
        <w:rPr>
          <w:rFonts w:ascii="Cambria" w:eastAsia="Cambria" w:hAnsi="Cambria" w:cs="Cambria"/>
          <w:b/>
          <w:color w:val="222222"/>
          <w:highlight w:val="white"/>
        </w:rPr>
        <w:t>27%</w:t>
      </w:r>
      <w:r>
        <w:rPr>
          <w:rFonts w:ascii="Cambria" w:eastAsia="Cambria" w:hAnsi="Cambria" w:cs="Cambria"/>
          <w:color w:val="222222"/>
          <w:highlight w:val="white"/>
        </w:rPr>
        <w:t xml:space="preserve"> of degree students in the College are enrolled in psychology programs. For more information on psychology programs at TC, see here: </w:t>
      </w:r>
      <w:hyperlink r:id="rId11">
        <w:r>
          <w:rPr>
            <w:rFonts w:ascii="Cambria" w:eastAsia="Cambria" w:hAnsi="Cambria" w:cs="Cambria"/>
            <w:color w:val="0000FF"/>
            <w:highlight w:val="white"/>
            <w:u w:val="single"/>
          </w:rPr>
          <w:t>www.tc.columbia.edu/academics/psychology/about/</w:t>
        </w:r>
      </w:hyperlink>
      <w:r>
        <w:rPr>
          <w:rFonts w:ascii="Cambria" w:eastAsia="Cambria" w:hAnsi="Cambria" w:cs="Cambria"/>
          <w:color w:val="222222"/>
          <w:highlight w:val="white"/>
        </w:rPr>
        <w:t>    </w:t>
      </w:r>
      <w:r>
        <w:rPr>
          <w:rFonts w:ascii="Cambria" w:eastAsia="Cambria" w:hAnsi="Cambria" w:cs="Cambria"/>
          <w:color w:val="000000"/>
        </w:rPr>
        <w:t xml:space="preserve"> </w:t>
      </w:r>
    </w:p>
    <w:p w14:paraId="00000059" w14:textId="77777777" w:rsidR="00CD3527" w:rsidRDefault="00CD3527">
      <w:pPr>
        <w:pBdr>
          <w:top w:val="nil"/>
          <w:left w:val="nil"/>
          <w:bottom w:val="nil"/>
          <w:right w:val="nil"/>
          <w:between w:val="nil"/>
        </w:pBdr>
        <w:rPr>
          <w:rFonts w:ascii="Cambria" w:eastAsia="Cambria" w:hAnsi="Cambria" w:cs="Cambria"/>
          <w:color w:val="000000"/>
        </w:rPr>
      </w:pPr>
    </w:p>
    <w:p w14:paraId="0000005A"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There are no undergraduates at TC, a fact that affects greatly the nature of faculty responsibilities; that is, faculty here are dedicated exclusively to teaching graduate students. Whereas Master’s degrees are awarded by TC, Ph.D. degrees are awarded by Columbia University’s Graduate School of Arts and Sciences (GSAS). Only those Teachers College faculty members who are members of the GSAS faculty are eligible to sponsor Ph.D. dissertations and serve as readers at orals (Ph.D. defenses). </w:t>
      </w:r>
    </w:p>
    <w:p w14:paraId="0000005B" w14:textId="77777777" w:rsidR="00CD3527" w:rsidRDefault="00CD3527">
      <w:pPr>
        <w:pBdr>
          <w:top w:val="nil"/>
          <w:left w:val="nil"/>
          <w:bottom w:val="nil"/>
          <w:right w:val="nil"/>
          <w:between w:val="nil"/>
        </w:pBdr>
        <w:rPr>
          <w:rFonts w:ascii="Cambria" w:eastAsia="Cambria" w:hAnsi="Cambria" w:cs="Cambria"/>
          <w:color w:val="000000"/>
        </w:rPr>
      </w:pPr>
    </w:p>
    <w:p w14:paraId="0000005C" w14:textId="0CA3DA6A"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Psychology has a long and prestigious legacy at TC. In 1899 Edward Lee Thorndike joined the faculty to extend his research and teaching on the psychology and learning behaviors of children. </w:t>
      </w:r>
      <w:r w:rsidR="007F56FC">
        <w:rPr>
          <w:rFonts w:ascii="Cambria" w:eastAsia="Cambria" w:hAnsi="Cambria" w:cs="Cambria"/>
          <w:color w:val="000000"/>
        </w:rPr>
        <w:t xml:space="preserve">(Notably, however, in 2020, the Board of Trustees at TC voted to remove Thorndike’s name from the building named after him because of his racist, sexist, and antisemitic ideas). </w:t>
      </w:r>
      <w:r>
        <w:rPr>
          <w:rFonts w:ascii="Cambria" w:eastAsia="Cambria" w:hAnsi="Cambria" w:cs="Cambria"/>
          <w:color w:val="000000"/>
        </w:rPr>
        <w:t>From that point on, applied psychology would “reside” at TC, while basic and experimental psychology would “reside” at Columbia per se. That same year, noted psychologist and philosopher John Dewey was elected president of the American Psychological Association, and in 1904 he joined the faculty of TC.</w:t>
      </w:r>
    </w:p>
    <w:p w14:paraId="0000005D" w14:textId="77777777" w:rsidR="00CD3527" w:rsidRDefault="00CD3527">
      <w:pPr>
        <w:pBdr>
          <w:top w:val="nil"/>
          <w:left w:val="nil"/>
          <w:bottom w:val="nil"/>
          <w:right w:val="nil"/>
          <w:between w:val="nil"/>
        </w:pBdr>
        <w:rPr>
          <w:rFonts w:ascii="Cambria" w:eastAsia="Cambria" w:hAnsi="Cambria" w:cs="Cambria"/>
          <w:color w:val="000000"/>
        </w:rPr>
      </w:pPr>
    </w:p>
    <w:p w14:paraId="0000005E" w14:textId="77777777" w:rsidR="00CD3527" w:rsidRDefault="00CD3527">
      <w:pPr>
        <w:pBdr>
          <w:top w:val="nil"/>
          <w:left w:val="nil"/>
          <w:bottom w:val="nil"/>
          <w:right w:val="nil"/>
          <w:between w:val="nil"/>
        </w:pBdr>
        <w:rPr>
          <w:rFonts w:ascii="Cambria" w:eastAsia="Cambria" w:hAnsi="Cambria" w:cs="Cambria"/>
          <w:color w:val="000000"/>
        </w:rPr>
      </w:pPr>
    </w:p>
    <w:p w14:paraId="0000005F"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The Clinical Psychology Program was founded in 1947-1948. It was APA-accredited in the first group of programs that were reviewed for accreditation in 1948 and that status has been uninterrupted. In the founding year, TC had a functioning child guidance clinic (The Guidance Laboratory), focusing mainly on children with school and educational problems, under the directorship of Esther Lloyd-Jones. The appointment to the faculty of Laurance F. Shaffer marked the beginning of the specialty area “Clinical Psychology” within a department called “Psychological Services.” Professor Shaffer was the author of </w:t>
      </w:r>
      <w:r>
        <w:rPr>
          <w:rFonts w:ascii="Cambria" w:eastAsia="Cambria" w:hAnsi="Cambria" w:cs="Cambria"/>
          <w:i/>
          <w:color w:val="000000"/>
        </w:rPr>
        <w:t>Psychology of Adjustment</w:t>
      </w:r>
      <w:r>
        <w:rPr>
          <w:rFonts w:ascii="Cambria" w:eastAsia="Cambria" w:hAnsi="Cambria" w:cs="Cambria"/>
          <w:color w:val="000000"/>
        </w:rPr>
        <w:t xml:space="preserve"> (1936), a seminal presentation of theory, research, and practice in clinical psychology as it then existed. This book was revised and updated many times by him and Professor E.J. Shoben Jr., who succeeded Professor Shaffer as clinical director. Shaffer later became President of APA. Carl Rogers and Albert Ellis were graduates of the early program in Psychological Services, and Virginia Axline, Chaim Ginott, Perry London, Rollo May, and Donald Spence were among the early graduates of the new Clinical Psychology program, as was Gordon Derner, who became one of its faculty members, later moving on to become Dean of the Gordon E. Derner Institute of Advanced Psychological Studies at Adelphi University. Another illustrious graduate was M. Powell Lawton, one of the originators of the field of geropsychology, who was also a founding editor of the APA journal, </w:t>
      </w:r>
      <w:r>
        <w:rPr>
          <w:rFonts w:ascii="Cambria" w:eastAsia="Cambria" w:hAnsi="Cambria" w:cs="Cambria"/>
          <w:i/>
          <w:color w:val="000000"/>
        </w:rPr>
        <w:t>Psychology and Aging</w:t>
      </w:r>
      <w:r>
        <w:rPr>
          <w:rFonts w:ascii="Cambria" w:eastAsia="Cambria" w:hAnsi="Cambria" w:cs="Cambria"/>
          <w:color w:val="000000"/>
        </w:rPr>
        <w:t xml:space="preserve">. </w:t>
      </w:r>
    </w:p>
    <w:p w14:paraId="00000060" w14:textId="77777777" w:rsidR="00CD3527" w:rsidRDefault="00CD3527">
      <w:pPr>
        <w:pBdr>
          <w:top w:val="nil"/>
          <w:left w:val="nil"/>
          <w:bottom w:val="nil"/>
          <w:right w:val="nil"/>
          <w:between w:val="nil"/>
        </w:pBdr>
        <w:rPr>
          <w:rFonts w:ascii="Cambria" w:eastAsia="Cambria" w:hAnsi="Cambria" w:cs="Cambria"/>
          <w:color w:val="000000"/>
        </w:rPr>
      </w:pPr>
    </w:p>
    <w:p w14:paraId="00000061" w14:textId="3F3C29D9"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In the early 1950s, the research for the NIMH-supported creation of a Code of Ethics was conducted at TC under the directorship of Nicholas Hobbs, a member of our program faculty, and also a later APA president. Sol Garfield (one of the co-editors of the many editions of the </w:t>
      </w:r>
      <w:r>
        <w:rPr>
          <w:rFonts w:ascii="Cambria" w:eastAsia="Cambria" w:hAnsi="Cambria" w:cs="Cambria"/>
          <w:i/>
          <w:color w:val="000000"/>
        </w:rPr>
        <w:t>Handbook of Psychotherapy and Behavior Change</w:t>
      </w:r>
      <w:r>
        <w:rPr>
          <w:rFonts w:ascii="Cambria" w:eastAsia="Cambria" w:hAnsi="Cambria" w:cs="Cambria"/>
          <w:color w:val="000000"/>
        </w:rPr>
        <w:t xml:space="preserve">) was Director of Clinical Training (DCT) of the program during much of the 1960s; he was succeeded in the late 1960s by Joel Davitz. Rosalea A. Schonbar was DCT of our program from 1970-1990; she also served a term in 1976-1977 as president of the New York State Psychological Association (NYSPA). Barry A. Farber served as DCT from the fall of 1990 through the summer of 2011. Lisa Miller then served in this role from the fall of 2011 through July 2014. Professor Farber re-assumed the position of DCT from 2014-2016.  In the fall of 2016, Professor Lena Verdeli was appointed our Director of Clinical Training, shepherding us through the APA self-study and subsequent site visit in the spring of 2021; in the fall of 2021, </w:t>
      </w:r>
      <w:r w:rsidR="006D141E">
        <w:rPr>
          <w:rFonts w:ascii="Cambria" w:eastAsia="Cambria" w:hAnsi="Cambria" w:cs="Cambria"/>
          <w:color w:val="000000"/>
        </w:rPr>
        <w:t xml:space="preserve">Professor Doug Mennin took the position, and, now, </w:t>
      </w:r>
      <w:r>
        <w:rPr>
          <w:rFonts w:ascii="Cambria" w:eastAsia="Cambria" w:hAnsi="Cambria" w:cs="Cambria"/>
          <w:color w:val="000000"/>
        </w:rPr>
        <w:t>Professor</w:t>
      </w:r>
      <w:r w:rsidR="006D141E">
        <w:rPr>
          <w:rFonts w:ascii="Cambria" w:eastAsia="Cambria" w:hAnsi="Cambria" w:cs="Cambria"/>
          <w:color w:val="000000"/>
        </w:rPr>
        <w:t>s</w:t>
      </w:r>
      <w:r>
        <w:rPr>
          <w:rFonts w:ascii="Cambria" w:eastAsia="Cambria" w:hAnsi="Cambria" w:cs="Cambria"/>
          <w:color w:val="000000"/>
        </w:rPr>
        <w:t xml:space="preserve"> </w:t>
      </w:r>
      <w:r w:rsidR="006D141E">
        <w:rPr>
          <w:rFonts w:ascii="Cambria" w:eastAsia="Cambria" w:hAnsi="Cambria" w:cs="Cambria"/>
          <w:color w:val="000000"/>
        </w:rPr>
        <w:t xml:space="preserve">Barry Farber and Lena Verdelihave </w:t>
      </w:r>
      <w:r>
        <w:rPr>
          <w:rFonts w:ascii="Cambria" w:eastAsia="Cambria" w:hAnsi="Cambria" w:cs="Cambria"/>
          <w:color w:val="000000"/>
        </w:rPr>
        <w:t xml:space="preserve">assumed this role. Program details can be found on our website: </w:t>
      </w:r>
      <w:hyperlink r:id="rId12">
        <w:r>
          <w:rPr>
            <w:rFonts w:ascii="Cambria" w:eastAsia="Cambria" w:hAnsi="Cambria" w:cs="Cambria"/>
            <w:color w:val="0000FF"/>
            <w:u w:val="single"/>
          </w:rPr>
          <w:t>https://www.tc.columbia.edu/counseling-and-clinical-psychology/clinical/phd-program/</w:t>
        </w:r>
      </w:hyperlink>
    </w:p>
    <w:p w14:paraId="00000062" w14:textId="77777777" w:rsidR="00CD3527" w:rsidRDefault="00CD3527">
      <w:pPr>
        <w:pBdr>
          <w:top w:val="nil"/>
          <w:left w:val="nil"/>
          <w:bottom w:val="nil"/>
          <w:right w:val="nil"/>
          <w:between w:val="nil"/>
        </w:pBdr>
        <w:rPr>
          <w:rFonts w:ascii="Cambria" w:eastAsia="Cambria" w:hAnsi="Cambria" w:cs="Cambria"/>
          <w:color w:val="000000"/>
        </w:rPr>
      </w:pPr>
    </w:p>
    <w:p w14:paraId="00000063"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Until 1995, Clinical Psychology was one department within a larger structure, the Division of Psychology and Education. When Dr. Arthur Levine was appointed president of the College in 1994, one of his goals was to simplify the structure of the College. Toward this end, he abolished all divisions and significantly reduced the number of departments in the College (from 17 to 9). The psychology programs in the College, all of which were part of the Division of Psychology and Education, were </w:t>
      </w:r>
      <w:r>
        <w:rPr>
          <w:rFonts w:ascii="Cambria" w:eastAsia="Cambria" w:hAnsi="Cambria" w:cs="Cambria"/>
          <w:color w:val="000000"/>
        </w:rPr>
        <w:lastRenderedPageBreak/>
        <w:t>dispersed among several different new departments.</w:t>
      </w:r>
      <w:r>
        <w:rPr>
          <w:rFonts w:ascii="Cambria" w:eastAsia="Cambria" w:hAnsi="Cambria" w:cs="Cambria"/>
          <w:color w:val="000000"/>
        </w:rPr>
        <w:br/>
      </w:r>
    </w:p>
    <w:p w14:paraId="00000064" w14:textId="34963149"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The Clinical Psychology Program and the Counseling Psychology Program are now part of a </w:t>
      </w:r>
      <w:r>
        <w:rPr>
          <w:rFonts w:ascii="Cambria" w:eastAsia="Cambria" w:hAnsi="Cambria" w:cs="Cambria"/>
          <w:i/>
          <w:color w:val="000000"/>
        </w:rPr>
        <w:t>single organizational unit</w:t>
      </w:r>
      <w:r>
        <w:rPr>
          <w:rFonts w:ascii="Cambria" w:eastAsia="Cambria" w:hAnsi="Cambria" w:cs="Cambria"/>
          <w:color w:val="000000"/>
        </w:rPr>
        <w:t xml:space="preserve">, the </w:t>
      </w:r>
      <w:r>
        <w:rPr>
          <w:rFonts w:ascii="Cambria" w:eastAsia="Cambria" w:hAnsi="Cambria" w:cs="Cambria"/>
          <w:i/>
          <w:color w:val="000000"/>
        </w:rPr>
        <w:t>Department of Counseling and Clinical Psychology</w:t>
      </w:r>
      <w:r>
        <w:rPr>
          <w:rFonts w:ascii="Cambria" w:eastAsia="Cambria" w:hAnsi="Cambria" w:cs="Cambria"/>
          <w:color w:val="000000"/>
        </w:rPr>
        <w:t xml:space="preserve">. Both Clinical and Counseling Programs retain their programmatic status and there are clearly identified faculty within each unit. The Chair of this Department, as of fall, 2021, is Professor Laura Smith (Counseling Psychology), succeeding Professor George Bonanno. The Director of Doctoral Training in Counseling Psychology is Professor </w:t>
      </w:r>
      <w:r>
        <w:rPr>
          <w:rFonts w:ascii="Cambria" w:eastAsia="Cambria" w:hAnsi="Cambria" w:cs="Cambria"/>
        </w:rPr>
        <w:t>Brandon Velez.</w:t>
      </w:r>
      <w:r>
        <w:rPr>
          <w:rFonts w:ascii="Cambria" w:eastAsia="Cambria" w:hAnsi="Cambria" w:cs="Cambria"/>
          <w:color w:val="000000"/>
        </w:rPr>
        <w:t xml:space="preserve">  As noted above, Professor</w:t>
      </w:r>
      <w:r w:rsidR="009E0221">
        <w:rPr>
          <w:rFonts w:ascii="Cambria" w:eastAsia="Cambria" w:hAnsi="Cambria" w:cs="Cambria"/>
          <w:color w:val="000000"/>
        </w:rPr>
        <w:t>s Farber and Verdeli</w:t>
      </w:r>
      <w:r>
        <w:rPr>
          <w:rFonts w:ascii="Cambria" w:eastAsia="Cambria" w:hAnsi="Cambria" w:cs="Cambria"/>
          <w:color w:val="000000"/>
        </w:rPr>
        <w:t xml:space="preserve"> </w:t>
      </w:r>
      <w:r w:rsidR="009E0221">
        <w:rPr>
          <w:rFonts w:ascii="Cambria" w:eastAsia="Cambria" w:hAnsi="Cambria" w:cs="Cambria"/>
          <w:color w:val="000000"/>
        </w:rPr>
        <w:t xml:space="preserve">are </w:t>
      </w:r>
      <w:r>
        <w:rPr>
          <w:rFonts w:ascii="Cambria" w:eastAsia="Cambria" w:hAnsi="Cambria" w:cs="Cambria"/>
          <w:color w:val="000000"/>
        </w:rPr>
        <w:t xml:space="preserve">now the current </w:t>
      </w:r>
      <w:r w:rsidR="009E0221">
        <w:rPr>
          <w:rFonts w:ascii="Cambria" w:eastAsia="Cambria" w:hAnsi="Cambria" w:cs="Cambria"/>
          <w:color w:val="000000"/>
        </w:rPr>
        <w:t>co-</w:t>
      </w:r>
      <w:r>
        <w:rPr>
          <w:rFonts w:ascii="Cambria" w:eastAsia="Cambria" w:hAnsi="Cambria" w:cs="Cambria"/>
          <w:color w:val="000000"/>
        </w:rPr>
        <w:t>DCT</w:t>
      </w:r>
      <w:r w:rsidR="009E0221">
        <w:rPr>
          <w:rFonts w:ascii="Cambria" w:eastAsia="Cambria" w:hAnsi="Cambria" w:cs="Cambria"/>
          <w:color w:val="000000"/>
        </w:rPr>
        <w:t>d</w:t>
      </w:r>
      <w:r>
        <w:rPr>
          <w:rFonts w:ascii="Cambria" w:eastAsia="Cambria" w:hAnsi="Cambria" w:cs="Cambria"/>
          <w:color w:val="000000"/>
        </w:rPr>
        <w:t xml:space="preserve"> of the Clinical Program. Dr. Matthew Blanchard</w:t>
      </w:r>
      <w:r w:rsidR="00906BDD">
        <w:rPr>
          <w:rFonts w:ascii="Cambria" w:eastAsia="Cambria" w:hAnsi="Cambria" w:cs="Cambria"/>
          <w:color w:val="000000"/>
        </w:rPr>
        <w:t xml:space="preserve"> </w:t>
      </w:r>
      <w:r>
        <w:rPr>
          <w:rFonts w:ascii="Cambria" w:eastAsia="Cambria" w:hAnsi="Cambria" w:cs="Cambria"/>
          <w:color w:val="000000"/>
        </w:rPr>
        <w:t>directs our Master’s degree programs in Clinical Psychology</w:t>
      </w:r>
      <w:r w:rsidR="009E0221">
        <w:rPr>
          <w:rFonts w:ascii="Cambria" w:eastAsia="Cambria" w:hAnsi="Cambria" w:cs="Cambria"/>
          <w:color w:val="000000"/>
        </w:rPr>
        <w:t>.</w:t>
      </w:r>
      <w:r>
        <w:rPr>
          <w:rFonts w:ascii="Cambria" w:eastAsia="Cambria" w:hAnsi="Cambria" w:cs="Cambria"/>
          <w:color w:val="000000"/>
        </w:rPr>
        <w:t xml:space="preserve"> </w:t>
      </w:r>
    </w:p>
    <w:p w14:paraId="00000065" w14:textId="77777777" w:rsidR="00CD3527" w:rsidRDefault="007F4AED">
      <w:pPr>
        <w:pStyle w:val="Heading1"/>
      </w:pPr>
      <w:bookmarkStart w:id="9" w:name="_heading=h.2s8eyo1" w:colFirst="0" w:colLast="0"/>
      <w:bookmarkEnd w:id="9"/>
      <w:r>
        <w:t>Faculty and Staff</w:t>
      </w:r>
    </w:p>
    <w:p w14:paraId="00000066" w14:textId="77777777" w:rsidR="00CD3527" w:rsidRDefault="007F4AED">
      <w:pPr>
        <w:pStyle w:val="Heading3"/>
      </w:pPr>
      <w:bookmarkStart w:id="10" w:name="_heading=h.17dp8vu" w:colFirst="0" w:colLast="0"/>
      <w:bookmarkEnd w:id="10"/>
      <w:r>
        <w:t>Core Faculty in Clinical Psychology (Doctoral Program):</w:t>
      </w:r>
    </w:p>
    <w:p w14:paraId="00000067" w14:textId="77777777" w:rsidR="00CD3527" w:rsidRDefault="00CD3527">
      <w:pPr>
        <w:rPr>
          <w:rFonts w:ascii="Cambria" w:eastAsia="Cambria" w:hAnsi="Cambria" w:cs="Cambria"/>
        </w:rPr>
      </w:pPr>
    </w:p>
    <w:p w14:paraId="00000068" w14:textId="77777777" w:rsidR="00CD3527" w:rsidRDefault="007F4AED">
      <w:pPr>
        <w:rPr>
          <w:rFonts w:ascii="Cambria" w:eastAsia="Cambria" w:hAnsi="Cambria" w:cs="Cambria"/>
        </w:rPr>
      </w:pPr>
      <w:r>
        <w:rPr>
          <w:rFonts w:ascii="Cambria" w:eastAsia="Cambria" w:hAnsi="Cambria" w:cs="Cambria"/>
        </w:rPr>
        <w:t xml:space="preserve">Professor George Bonanno </w:t>
      </w:r>
    </w:p>
    <w:p w14:paraId="00000069" w14:textId="64280BA6" w:rsidR="00CD3527" w:rsidRDefault="00F95C94">
      <w:pPr>
        <w:rPr>
          <w:rFonts w:ascii="Cambria" w:eastAsia="Cambria" w:hAnsi="Cambria" w:cs="Cambria"/>
        </w:rPr>
      </w:pPr>
      <w:r>
        <w:rPr>
          <w:rFonts w:ascii="Cambria" w:eastAsia="Cambria" w:hAnsi="Cambria" w:cs="Cambria"/>
        </w:rPr>
        <w:t xml:space="preserve">Honorary Reseearch </w:t>
      </w:r>
      <w:r w:rsidR="007F4AED">
        <w:rPr>
          <w:rFonts w:ascii="Cambria" w:eastAsia="Cambria" w:hAnsi="Cambria" w:cs="Cambria"/>
        </w:rPr>
        <w:t>Associate Professor Christine Cha</w:t>
      </w:r>
    </w:p>
    <w:p w14:paraId="0000006A" w14:textId="77777777" w:rsidR="00CD3527" w:rsidRDefault="007F4AED">
      <w:pPr>
        <w:rPr>
          <w:rFonts w:ascii="Cambria" w:eastAsia="Cambria" w:hAnsi="Cambria" w:cs="Cambria"/>
        </w:rPr>
      </w:pPr>
      <w:r>
        <w:rPr>
          <w:rFonts w:ascii="Cambria" w:eastAsia="Cambria" w:hAnsi="Cambria" w:cs="Cambria"/>
        </w:rPr>
        <w:t>Professor Barry A. Farber</w:t>
      </w:r>
    </w:p>
    <w:p w14:paraId="0000006B" w14:textId="77777777" w:rsidR="00CD3527" w:rsidRDefault="007F4AED">
      <w:pPr>
        <w:rPr>
          <w:rFonts w:ascii="Cambria" w:eastAsia="Cambria" w:hAnsi="Cambria" w:cs="Cambria"/>
        </w:rPr>
      </w:pPr>
      <w:r>
        <w:rPr>
          <w:rFonts w:ascii="Cambria" w:eastAsia="Cambria" w:hAnsi="Cambria" w:cs="Cambria"/>
        </w:rPr>
        <w:t>Professor Ayorkor Gaba</w:t>
      </w:r>
    </w:p>
    <w:p w14:paraId="0000006C" w14:textId="77777777" w:rsidR="00CD3527" w:rsidRDefault="007F4AED">
      <w:pPr>
        <w:rPr>
          <w:rFonts w:ascii="Cambria" w:eastAsia="Cambria" w:hAnsi="Cambria" w:cs="Cambria"/>
        </w:rPr>
      </w:pPr>
      <w:r>
        <w:rPr>
          <w:rFonts w:ascii="Cambria" w:eastAsia="Cambria" w:hAnsi="Cambria" w:cs="Cambria"/>
        </w:rPr>
        <w:t xml:space="preserve">Professor Doug Mennin  </w:t>
      </w:r>
    </w:p>
    <w:p w14:paraId="0000006D" w14:textId="77777777" w:rsidR="00CD3527" w:rsidRDefault="007F4AED">
      <w:pPr>
        <w:rPr>
          <w:rFonts w:ascii="Cambria" w:eastAsia="Cambria" w:hAnsi="Cambria" w:cs="Cambria"/>
        </w:rPr>
      </w:pPr>
      <w:r>
        <w:rPr>
          <w:rFonts w:ascii="Cambria" w:eastAsia="Cambria" w:hAnsi="Cambria" w:cs="Cambria"/>
        </w:rPr>
        <w:t xml:space="preserve">Professor Lisa Miller </w:t>
      </w:r>
    </w:p>
    <w:p w14:paraId="0000006E" w14:textId="77777777" w:rsidR="00CD3527" w:rsidRDefault="007F4AED">
      <w:pPr>
        <w:rPr>
          <w:rFonts w:ascii="Cambria" w:eastAsia="Cambria" w:hAnsi="Cambria" w:cs="Cambria"/>
        </w:rPr>
      </w:pPr>
      <w:r>
        <w:rPr>
          <w:rFonts w:ascii="Cambria" w:eastAsia="Cambria" w:hAnsi="Cambria" w:cs="Cambria"/>
        </w:rPr>
        <w:t>Adjunct Assistant Professor Matthew Blanchard</w:t>
      </w:r>
    </w:p>
    <w:p w14:paraId="0000006F" w14:textId="77777777" w:rsidR="00CD3527" w:rsidRDefault="007F4AED">
      <w:pPr>
        <w:rPr>
          <w:rFonts w:ascii="Cambria" w:eastAsia="Cambria" w:hAnsi="Cambria" w:cs="Cambria"/>
        </w:rPr>
      </w:pPr>
      <w:r>
        <w:rPr>
          <w:rFonts w:ascii="Cambria" w:eastAsia="Cambria" w:hAnsi="Cambria" w:cs="Cambria"/>
        </w:rPr>
        <w:t>Adjunct Full Professor Dinelia Rosa (Director, Dean Hope Center)</w:t>
      </w:r>
    </w:p>
    <w:p w14:paraId="00000070" w14:textId="77777777" w:rsidR="00CD3527" w:rsidRDefault="007F4AED">
      <w:pPr>
        <w:rPr>
          <w:rFonts w:ascii="Cambria" w:eastAsia="Cambria" w:hAnsi="Cambria" w:cs="Cambria"/>
        </w:rPr>
      </w:pPr>
      <w:r>
        <w:rPr>
          <w:rFonts w:ascii="Cambria" w:eastAsia="Cambria" w:hAnsi="Cambria" w:cs="Cambria"/>
        </w:rPr>
        <w:t xml:space="preserve">Associate Professor Lena Verdeli </w:t>
      </w:r>
    </w:p>
    <w:p w14:paraId="00000071" w14:textId="77777777" w:rsidR="00CD3527" w:rsidRDefault="00CD3527">
      <w:pPr>
        <w:rPr>
          <w:rFonts w:ascii="Cambria" w:eastAsia="Cambria" w:hAnsi="Cambria" w:cs="Cambria"/>
        </w:rPr>
      </w:pPr>
    </w:p>
    <w:p w14:paraId="00000072" w14:textId="77777777" w:rsidR="00CD3527" w:rsidRDefault="007F4AED">
      <w:pPr>
        <w:pStyle w:val="Heading3"/>
      </w:pPr>
      <w:bookmarkStart w:id="11" w:name="_heading=h.3rdcrjn" w:colFirst="0" w:colLast="0"/>
      <w:bookmarkEnd w:id="11"/>
      <w:r>
        <w:t>Adjunct Teaching Faculty (Doctoral Program):</w:t>
      </w:r>
    </w:p>
    <w:p w14:paraId="00000073" w14:textId="77777777" w:rsidR="00CD3527" w:rsidRDefault="00CD3527">
      <w:pPr>
        <w:rPr>
          <w:rFonts w:ascii="Cambria" w:eastAsia="Cambria" w:hAnsi="Cambria" w:cs="Cambria"/>
        </w:rPr>
      </w:pPr>
    </w:p>
    <w:p w14:paraId="00000074" w14:textId="77777777" w:rsidR="00CD3527" w:rsidRDefault="007F4AED">
      <w:pPr>
        <w:rPr>
          <w:rFonts w:ascii="Cambria" w:eastAsia="Cambria" w:hAnsi="Cambria" w:cs="Cambria"/>
        </w:rPr>
      </w:pPr>
      <w:r>
        <w:rPr>
          <w:rFonts w:ascii="Cambria" w:eastAsia="Cambria" w:hAnsi="Cambria" w:cs="Cambria"/>
        </w:rPr>
        <w:t>Dr. Jeffrey Cole (Advanced Practicum: Introduction to Neuropsychological Assessment)</w:t>
      </w:r>
    </w:p>
    <w:p w14:paraId="00000076" w14:textId="76C7504C" w:rsidR="00CD3527" w:rsidRDefault="007F4AED">
      <w:pPr>
        <w:rPr>
          <w:rFonts w:ascii="Cambria" w:eastAsia="Cambria" w:hAnsi="Cambria" w:cs="Cambria"/>
        </w:rPr>
      </w:pPr>
      <w:r>
        <w:rPr>
          <w:rFonts w:ascii="Cambria" w:eastAsia="Cambria" w:hAnsi="Cambria" w:cs="Cambria"/>
        </w:rPr>
        <w:t>Dr. Marie Iselin (Advanced Practicum</w:t>
      </w:r>
      <w:r w:rsidR="00356213">
        <w:rPr>
          <w:rFonts w:ascii="Cambria" w:eastAsia="Cambria" w:hAnsi="Cambria" w:cs="Cambria"/>
        </w:rPr>
        <w:t>: Interpersonal Psychotherapy</w:t>
      </w:r>
      <w:r>
        <w:rPr>
          <w:rFonts w:ascii="Cambria" w:eastAsia="Cambria" w:hAnsi="Cambria" w:cs="Cambria"/>
        </w:rPr>
        <w:t>)</w:t>
      </w:r>
    </w:p>
    <w:p w14:paraId="00000077" w14:textId="019A2502" w:rsidR="00CD3527" w:rsidRDefault="007F4AED">
      <w:pPr>
        <w:rPr>
          <w:rFonts w:ascii="Cambria" w:eastAsia="Cambria" w:hAnsi="Cambria" w:cs="Cambria"/>
        </w:rPr>
      </w:pPr>
      <w:r>
        <w:rPr>
          <w:rFonts w:ascii="Cambria" w:eastAsia="Cambria" w:hAnsi="Cambria" w:cs="Cambria"/>
        </w:rPr>
        <w:t xml:space="preserve">Dr. </w:t>
      </w:r>
      <w:r w:rsidRPr="00300ED3">
        <w:t>Kristine Kingsley</w:t>
      </w:r>
      <w:r w:rsidR="00300ED3">
        <w:t xml:space="preserve"> </w:t>
      </w:r>
      <w:r w:rsidRPr="00300ED3">
        <w:rPr>
          <w:rFonts w:ascii="Cambria" w:eastAsia="Cambria" w:hAnsi="Cambria" w:cs="Cambria"/>
        </w:rPr>
        <w:t>(</w:t>
      </w:r>
      <w:r>
        <w:rPr>
          <w:rFonts w:ascii="Cambria" w:eastAsia="Cambria" w:hAnsi="Cambria" w:cs="Cambria"/>
        </w:rPr>
        <w:t>Assessment)</w:t>
      </w:r>
    </w:p>
    <w:p w14:paraId="0000007A" w14:textId="77777777" w:rsidR="00CD3527" w:rsidRDefault="007F4AED">
      <w:pPr>
        <w:rPr>
          <w:rFonts w:ascii="Cambria" w:eastAsia="Cambria" w:hAnsi="Cambria" w:cs="Cambria"/>
        </w:rPr>
      </w:pPr>
      <w:r>
        <w:rPr>
          <w:rFonts w:ascii="Cambria" w:eastAsia="Cambria" w:hAnsi="Cambria" w:cs="Cambria"/>
        </w:rPr>
        <w:t>Dr. Scott Woodruff (Advanced Practicum: CBT)</w:t>
      </w:r>
    </w:p>
    <w:p w14:paraId="0000007B" w14:textId="77777777" w:rsidR="00CD3527" w:rsidRDefault="007F4AED">
      <w:pPr>
        <w:rPr>
          <w:rFonts w:ascii="Cambria" w:eastAsia="Cambria" w:hAnsi="Cambria" w:cs="Cambria"/>
        </w:rPr>
      </w:pPr>
      <w:r>
        <w:rPr>
          <w:rFonts w:ascii="Cambria" w:eastAsia="Cambria" w:hAnsi="Cambria" w:cs="Cambria"/>
        </w:rPr>
        <w:t>Dr. Graham Reynolds (Advanced Practicum:/DBT)</w:t>
      </w:r>
    </w:p>
    <w:p w14:paraId="0000007C" w14:textId="77777777" w:rsidR="00CD3527" w:rsidRDefault="00CD3527">
      <w:pPr>
        <w:rPr>
          <w:rFonts w:ascii="Cambria" w:eastAsia="Cambria" w:hAnsi="Cambria" w:cs="Cambria"/>
        </w:rPr>
      </w:pPr>
    </w:p>
    <w:p w14:paraId="0000007D" w14:textId="77777777" w:rsidR="00CD3527" w:rsidRDefault="007F4AED">
      <w:pPr>
        <w:pStyle w:val="Heading3"/>
      </w:pPr>
      <w:bookmarkStart w:id="12" w:name="_heading=h.26in1rg" w:colFirst="0" w:colLast="0"/>
      <w:bookmarkEnd w:id="12"/>
      <w:r>
        <w:t>Support Staff:</w:t>
      </w:r>
    </w:p>
    <w:p w14:paraId="0000007E" w14:textId="77777777" w:rsidR="00CD3527" w:rsidRDefault="00CD3527">
      <w:pPr>
        <w:rPr>
          <w:rFonts w:ascii="Cambria" w:eastAsia="Cambria" w:hAnsi="Cambria" w:cs="Cambria"/>
        </w:rPr>
      </w:pPr>
    </w:p>
    <w:p w14:paraId="0000007F" w14:textId="77777777" w:rsidR="00CD3527" w:rsidRDefault="007F4AED">
      <w:pPr>
        <w:rPr>
          <w:rFonts w:ascii="Cambria" w:eastAsia="Cambria" w:hAnsi="Cambria" w:cs="Cambria"/>
        </w:rPr>
      </w:pPr>
      <w:r>
        <w:rPr>
          <w:rFonts w:ascii="Cambria" w:eastAsia="Cambria" w:hAnsi="Cambria" w:cs="Cambria"/>
        </w:rPr>
        <w:t>Ms. Enrika Davis, Director of Academic Administration</w:t>
      </w:r>
    </w:p>
    <w:p w14:paraId="00000080" w14:textId="77777777" w:rsidR="00CD3527" w:rsidRDefault="007F4AED">
      <w:pPr>
        <w:rPr>
          <w:rFonts w:ascii="Cambria" w:eastAsia="Cambria" w:hAnsi="Cambria" w:cs="Cambria"/>
        </w:rPr>
      </w:pPr>
      <w:r>
        <w:rPr>
          <w:rFonts w:ascii="Cambria" w:eastAsia="Cambria" w:hAnsi="Cambria" w:cs="Cambria"/>
        </w:rPr>
        <w:t>Ms. Chrissandra Taylor, Department Secretary</w:t>
      </w:r>
    </w:p>
    <w:p w14:paraId="00000081" w14:textId="77777777" w:rsidR="00CD3527" w:rsidRDefault="007F4AED">
      <w:pPr>
        <w:rPr>
          <w:rFonts w:ascii="Cambria" w:eastAsia="Cambria" w:hAnsi="Cambria" w:cs="Cambria"/>
        </w:rPr>
      </w:pPr>
      <w:r>
        <w:rPr>
          <w:rFonts w:ascii="Cambria" w:eastAsia="Cambria" w:hAnsi="Cambria" w:cs="Cambria"/>
        </w:rPr>
        <w:t>Ms. Rebecca Shulevitz, Program Secretary, Clinical Psychology</w:t>
      </w:r>
    </w:p>
    <w:p w14:paraId="00000086" w14:textId="77777777" w:rsidR="00CD3527" w:rsidRDefault="007F4AED">
      <w:pPr>
        <w:pStyle w:val="Heading1"/>
      </w:pPr>
      <w:bookmarkStart w:id="13" w:name="_heading=h.aig43qebixaa" w:colFirst="0" w:colLast="0"/>
      <w:bookmarkStart w:id="14" w:name="_heading=h.32xxqze5e3hi" w:colFirst="0" w:colLast="0"/>
      <w:bookmarkStart w:id="15" w:name="_heading=h.p6s8h4cz8rm4" w:colFirst="0" w:colLast="0"/>
      <w:bookmarkStart w:id="16" w:name="_heading=h.lnxbz9" w:colFirst="0" w:colLast="0"/>
      <w:bookmarkEnd w:id="13"/>
      <w:bookmarkEnd w:id="14"/>
      <w:bookmarkEnd w:id="15"/>
      <w:bookmarkEnd w:id="16"/>
      <w:r>
        <w:lastRenderedPageBreak/>
        <w:t xml:space="preserve">Program Philosophy and Model </w:t>
      </w:r>
      <w:r>
        <w:br/>
      </w:r>
    </w:p>
    <w:p w14:paraId="00000087" w14:textId="78F5088C"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Since 2005, our program has operated according to the assumptions and requirements of a </w:t>
      </w:r>
      <w:r>
        <w:rPr>
          <w:rFonts w:ascii="Cambria" w:eastAsia="Cambria" w:hAnsi="Cambria" w:cs="Cambria"/>
          <w:i/>
          <w:color w:val="000000"/>
        </w:rPr>
        <w:t>scientist-practitioner</w:t>
      </w:r>
      <w:r>
        <w:rPr>
          <w:rFonts w:ascii="Cambria" w:eastAsia="Cambria" w:hAnsi="Cambria" w:cs="Cambria"/>
          <w:color w:val="000000"/>
        </w:rPr>
        <w:t xml:space="preserve"> model of clinical training. This model emphasizes the synthesis of research and clinical practice, and incorporates aspects of both formal instruction and apprenticeship. Overall, our training is sequential, cumulative, and graded in complexity. It typically involves five-six years of study. Years 1-2 are focused on completing academic coursework, gaining research skills to develop the Master’s thesis (also referred to as the Second-</w:t>
      </w:r>
      <w:r w:rsidR="00DA169F">
        <w:rPr>
          <w:rFonts w:ascii="Cambria" w:eastAsia="Cambria" w:hAnsi="Cambria" w:cs="Cambria"/>
          <w:color w:val="000000"/>
        </w:rPr>
        <w:t>Y</w:t>
      </w:r>
      <w:r>
        <w:rPr>
          <w:rFonts w:ascii="Cambria" w:eastAsia="Cambria" w:hAnsi="Cambria" w:cs="Cambria"/>
          <w:color w:val="000000"/>
        </w:rPr>
        <w:t>ear Project) and acquiring clinical acumen via training in psychological assessment and evidence-based therapies. The third year is dedicated to critical performance benchmarks for both clinical and research work, including passing the certification (“CERT”) oral exam involving presenting the Master’s thesis to the program faculty and students, preparing to publish and/or present findings at professional conferences, and building a clinical repertoire via two clinical rotations. Some students opt for an informal clinical externship during this year with the approval of their advisor.  The fourth and fifth years are specifically dedicated to two goals: one, writing and presenting a doctoral thesis proposal (including applying for research grants) with the support of faculty and a proposal committee; and two, applying for clinical internships via APPIC. Students may utilize their fourth year to work extensively on their dissertations and/or seek clinical externship opportunities. This year serves as a pre-launch to the fifth-sixth year of the student (details about various options are listed starting on page 27 under “program requirements”).</w:t>
      </w:r>
    </w:p>
    <w:p w14:paraId="00000088" w14:textId="77777777" w:rsidR="00CD3527" w:rsidRDefault="00CD3527">
      <w:pPr>
        <w:pBdr>
          <w:top w:val="nil"/>
          <w:left w:val="nil"/>
          <w:bottom w:val="nil"/>
          <w:right w:val="nil"/>
          <w:between w:val="nil"/>
        </w:pBdr>
        <w:rPr>
          <w:rFonts w:ascii="Cambria" w:eastAsia="Cambria" w:hAnsi="Cambria" w:cs="Cambria"/>
          <w:color w:val="000000"/>
        </w:rPr>
      </w:pPr>
    </w:p>
    <w:p w14:paraId="00000089"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In this regard, too, APA requires of psychology doctoral students “a minimum of 3 full-time academic years of graduate study—at least 2 of which must be at the institution [Teachers College] at which the doctoral degree is granted, and at least a year of which must be in full-time residence or the equivalent thereof.” </w:t>
      </w:r>
    </w:p>
    <w:p w14:paraId="0000008A" w14:textId="77777777" w:rsidR="00CD3527" w:rsidRDefault="00CD3527">
      <w:pPr>
        <w:pBdr>
          <w:top w:val="nil"/>
          <w:left w:val="nil"/>
          <w:bottom w:val="nil"/>
          <w:right w:val="nil"/>
          <w:between w:val="nil"/>
        </w:pBdr>
        <w:rPr>
          <w:rFonts w:ascii="Cambria" w:eastAsia="Cambria" w:hAnsi="Cambria" w:cs="Cambria"/>
          <w:color w:val="000000"/>
        </w:rPr>
      </w:pPr>
    </w:p>
    <w:p w14:paraId="0000008B"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This model and the goals of the program (see ensuing pages) are implemented through three parallel pursuits: </w:t>
      </w:r>
    </w:p>
    <w:p w14:paraId="0000008C" w14:textId="77777777" w:rsidR="00CD3527" w:rsidRDefault="007F4AED">
      <w:pPr>
        <w:pStyle w:val="Heading3"/>
      </w:pPr>
      <w:bookmarkStart w:id="17" w:name="_heading=h.35nkun2" w:colFirst="0" w:colLast="0"/>
      <w:bookmarkEnd w:id="17"/>
      <w:r>
        <w:t>Lab Involvement:</w:t>
      </w:r>
    </w:p>
    <w:p w14:paraId="0000008D"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An intensive four-year engagement in the lab of a core faculty member—typically requiring 15-20 hours a week—is the ground for developing research skills as well as the start of an independent research career for many. The nature of this involvement (i.e., writing grants, leading lab sections, recruiting subjects for studies, piloting measures, coding and analyzing data, working on and publishing journal articles) is determined by each student’s advisor. </w:t>
      </w:r>
    </w:p>
    <w:p w14:paraId="0000008E" w14:textId="77777777" w:rsidR="00CD3527" w:rsidRDefault="007F4AED">
      <w:pPr>
        <w:pStyle w:val="Heading3"/>
      </w:pPr>
      <w:bookmarkStart w:id="18" w:name="_heading=h.1ksv4uv" w:colFirst="0" w:colLast="0"/>
      <w:bookmarkEnd w:id="18"/>
      <w:r>
        <w:t>Clinical Training:</w:t>
      </w:r>
    </w:p>
    <w:p w14:paraId="0000008F" w14:textId="361E542B"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Our program benefits greatly from the presence of an in-house clinic, </w:t>
      </w:r>
      <w:r w:rsidR="00C27469">
        <w:rPr>
          <w:rFonts w:ascii="Cambria" w:eastAsia="Cambria" w:hAnsi="Cambria" w:cs="Cambria"/>
          <w:color w:val="000000"/>
        </w:rPr>
        <w:t>t</w:t>
      </w:r>
      <w:r>
        <w:rPr>
          <w:rFonts w:ascii="Cambria" w:eastAsia="Cambria" w:hAnsi="Cambria" w:cs="Cambria"/>
          <w:color w:val="000000"/>
        </w:rPr>
        <w:t xml:space="preserve">he DHCEPS, that offers a broad range of clinical training and allied research opportunities. The program currently offers several full-year rotations (specializations): Psychodynamic therapy; </w:t>
      </w:r>
      <w:r>
        <w:rPr>
          <w:rFonts w:ascii="Cambria" w:eastAsia="Cambria" w:hAnsi="Cambria" w:cs="Cambria"/>
          <w:color w:val="000000"/>
        </w:rPr>
        <w:lastRenderedPageBreak/>
        <w:t>Cognitive/Dialectical Behavior therapies; Emotion Regulation Therapy; Interpersonal Psychotherapy; Child and Adolescent therapy</w:t>
      </w:r>
      <w:r w:rsidR="00B25E07">
        <w:rPr>
          <w:rFonts w:ascii="Cambria" w:eastAsia="Cambria" w:hAnsi="Cambria" w:cs="Cambria"/>
          <w:color w:val="000000"/>
        </w:rPr>
        <w:t xml:space="preserve"> (offered every other year)</w:t>
      </w:r>
      <w:r>
        <w:rPr>
          <w:rFonts w:ascii="Cambria" w:eastAsia="Cambria" w:hAnsi="Cambria" w:cs="Cambria"/>
          <w:color w:val="000000"/>
        </w:rPr>
        <w:t xml:space="preserve">; Family </w:t>
      </w:r>
      <w:r w:rsidR="00F95C94">
        <w:rPr>
          <w:rFonts w:ascii="Cambria" w:eastAsia="Cambria" w:hAnsi="Cambria" w:cs="Cambria"/>
          <w:color w:val="000000"/>
        </w:rPr>
        <w:t>Therapy</w:t>
      </w:r>
      <w:r>
        <w:rPr>
          <w:rFonts w:ascii="Cambria" w:eastAsia="Cambria" w:hAnsi="Cambria" w:cs="Cambria"/>
          <w:color w:val="000000"/>
        </w:rPr>
        <w:t>; and Neuropsychological Assessment.</w:t>
      </w:r>
      <w:r w:rsidR="00906BDD">
        <w:rPr>
          <w:rFonts w:ascii="Cambria" w:eastAsia="Cambria" w:hAnsi="Cambria" w:cs="Cambria"/>
          <w:color w:val="000000"/>
        </w:rPr>
        <w:t xml:space="preserve"> </w:t>
      </w:r>
      <w:r>
        <w:rPr>
          <w:rFonts w:ascii="Cambria" w:eastAsia="Cambria" w:hAnsi="Cambria" w:cs="Cambria"/>
          <w:color w:val="000000"/>
        </w:rPr>
        <w:t xml:space="preserve"> Each rotation combines clinical work, individual and group supervision, and didactics (coursework, including reading and attending seminars).</w:t>
      </w:r>
    </w:p>
    <w:p w14:paraId="00000090" w14:textId="77777777" w:rsidR="00CD3527" w:rsidRDefault="00CD3527">
      <w:pPr>
        <w:pBdr>
          <w:top w:val="nil"/>
          <w:left w:val="nil"/>
          <w:bottom w:val="nil"/>
          <w:right w:val="nil"/>
          <w:between w:val="nil"/>
        </w:pBdr>
        <w:rPr>
          <w:rFonts w:ascii="Cambria" w:eastAsia="Cambria" w:hAnsi="Cambria" w:cs="Cambria"/>
          <w:color w:val="000000"/>
        </w:rPr>
      </w:pPr>
    </w:p>
    <w:p w14:paraId="00000091" w14:textId="77777777" w:rsidR="00CD3527" w:rsidRDefault="007F4AED">
      <w:pPr>
        <w:pStyle w:val="Heading3"/>
      </w:pPr>
      <w:bookmarkStart w:id="19" w:name="_heading=h.44sinio" w:colFirst="0" w:colLast="0"/>
      <w:bookmarkEnd w:id="19"/>
      <w:r>
        <w:t>Coursework:</w:t>
      </w:r>
    </w:p>
    <w:p w14:paraId="00000092"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Our curriculum provides a broad overview of the field of clinical psychology. Courses seek to combine research, theory, and practice—typically viewed through multiple lenses, including those of multiculturalism—as a means toward understanding core issues in psychopathology and treatment. </w:t>
      </w:r>
    </w:p>
    <w:p w14:paraId="00000093" w14:textId="77777777" w:rsidR="00CD3527" w:rsidRDefault="00CD3527">
      <w:pPr>
        <w:pBdr>
          <w:top w:val="nil"/>
          <w:left w:val="nil"/>
          <w:bottom w:val="nil"/>
          <w:right w:val="nil"/>
          <w:between w:val="nil"/>
        </w:pBdr>
        <w:ind w:firstLine="720"/>
        <w:rPr>
          <w:rFonts w:ascii="Cambria" w:eastAsia="Cambria" w:hAnsi="Cambria" w:cs="Cambria"/>
          <w:color w:val="000000"/>
        </w:rPr>
      </w:pPr>
    </w:p>
    <w:p w14:paraId="00000094" w14:textId="77777777" w:rsidR="00CD3527" w:rsidRDefault="007F4AED">
      <w:pPr>
        <w:pStyle w:val="Heading1"/>
      </w:pPr>
      <w:bookmarkStart w:id="20" w:name="_heading=h.2jxsxqh" w:colFirst="0" w:colLast="0"/>
      <w:bookmarkEnd w:id="20"/>
      <w:r>
        <w:br w:type="page"/>
      </w:r>
      <w:r>
        <w:lastRenderedPageBreak/>
        <w:t>Program Goals and Objectives</w:t>
      </w:r>
    </w:p>
    <w:p w14:paraId="00000095"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The goals of the TC doctoral program in Clinical Psychology are consistent with standards for research and practice in health service psychology (HSP) as defined by the American Psychological Association (APA)’s Commission on Accreditation (CoA; February 2015): “Health service psychology is defined as the integration of psychological science and practice in order to facilitate human development and functioning. Health service psychology includes the generation and provision of knowledge and practices that encompass a wide range of professional activities relevant to health promotion, prevention, consultation, assessment, and treatment for psychological and other health-related disorders.” Our training goals encompass four major areas: </w:t>
      </w:r>
      <w:r>
        <w:rPr>
          <w:rFonts w:ascii="Cambria" w:eastAsia="Cambria" w:hAnsi="Cambria" w:cs="Cambria"/>
          <w:i/>
          <w:color w:val="000000"/>
        </w:rPr>
        <w:t>Research and Scholarship; Clinical Theory and Practice; Professional Identity and Service; and Diversity</w:t>
      </w:r>
      <w:r>
        <w:rPr>
          <w:rFonts w:ascii="Cambria" w:eastAsia="Cambria" w:hAnsi="Cambria" w:cs="Cambria"/>
          <w:color w:val="000000"/>
        </w:rPr>
        <w:t xml:space="preserve"> (i.e., awareness of and sensitivity to individual and cultural differences). Within each of these areas, there are specific goals and objectives. </w:t>
      </w:r>
    </w:p>
    <w:p w14:paraId="00000096" w14:textId="77777777" w:rsidR="00CD3527" w:rsidRDefault="00CD3527">
      <w:pPr>
        <w:pBdr>
          <w:top w:val="nil"/>
          <w:left w:val="nil"/>
          <w:bottom w:val="nil"/>
          <w:right w:val="nil"/>
          <w:between w:val="nil"/>
        </w:pBdr>
        <w:rPr>
          <w:rFonts w:ascii="Cambria" w:eastAsia="Cambria" w:hAnsi="Cambria" w:cs="Cambria"/>
          <w:color w:val="000000"/>
        </w:rPr>
      </w:pPr>
    </w:p>
    <w:p w14:paraId="00000097"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b/>
          <w:i/>
          <w:color w:val="000000"/>
        </w:rPr>
        <w:t>Goal 1.</w:t>
      </w:r>
      <w:r>
        <w:rPr>
          <w:rFonts w:ascii="Cambria" w:eastAsia="Cambria" w:hAnsi="Cambria" w:cs="Cambria"/>
          <w:b/>
          <w:color w:val="000000"/>
        </w:rPr>
        <w:t xml:space="preserve"> </w:t>
      </w:r>
      <w:r>
        <w:rPr>
          <w:rFonts w:ascii="Cambria" w:eastAsia="Cambria" w:hAnsi="Cambria" w:cs="Cambria"/>
          <w:b/>
          <w:i/>
          <w:color w:val="000000"/>
        </w:rPr>
        <w:t>Research and Scholarship</w:t>
      </w:r>
      <w:r>
        <w:rPr>
          <w:rFonts w:ascii="Cambria" w:eastAsia="Cambria" w:hAnsi="Cambria" w:cs="Cambria"/>
          <w:b/>
          <w:color w:val="000000"/>
        </w:rPr>
        <w:t>:</w:t>
      </w:r>
      <w:r>
        <w:rPr>
          <w:rFonts w:ascii="Cambria" w:eastAsia="Cambria" w:hAnsi="Cambria" w:cs="Cambria"/>
          <w:color w:val="000000"/>
        </w:rPr>
        <w:t xml:space="preserve"> </w:t>
      </w:r>
      <w:r>
        <w:rPr>
          <w:rFonts w:ascii="Cambria" w:eastAsia="Cambria" w:hAnsi="Cambria" w:cs="Cambria"/>
          <w:b/>
          <w:i/>
          <w:color w:val="000000"/>
        </w:rPr>
        <w:t xml:space="preserve">To prepare clinical scientist-practitioners who demonstrate a broad understanding of psychological science and who can design, conduct, present, and evaluate psychological research. </w:t>
      </w:r>
    </w:p>
    <w:p w14:paraId="00000098" w14:textId="77777777" w:rsidR="00CD3527" w:rsidRDefault="00CD3527">
      <w:pPr>
        <w:pBdr>
          <w:top w:val="nil"/>
          <w:left w:val="nil"/>
          <w:bottom w:val="nil"/>
          <w:right w:val="nil"/>
          <w:between w:val="nil"/>
        </w:pBdr>
        <w:rPr>
          <w:rFonts w:ascii="Cambria" w:eastAsia="Cambria" w:hAnsi="Cambria" w:cs="Cambria"/>
          <w:color w:val="000000"/>
        </w:rPr>
      </w:pPr>
    </w:p>
    <w:p w14:paraId="00000099" w14:textId="77777777" w:rsidR="00CD3527" w:rsidRDefault="007F4AED">
      <w:pPr>
        <w:pBdr>
          <w:top w:val="nil"/>
          <w:left w:val="nil"/>
          <w:bottom w:val="nil"/>
          <w:right w:val="nil"/>
          <w:between w:val="nil"/>
        </w:pBdr>
        <w:ind w:left="720"/>
        <w:rPr>
          <w:rFonts w:ascii="Cambria" w:eastAsia="Cambria" w:hAnsi="Cambria" w:cs="Cambria"/>
          <w:color w:val="000000"/>
        </w:rPr>
      </w:pPr>
      <w:r>
        <w:rPr>
          <w:rFonts w:ascii="Cambria" w:eastAsia="Cambria" w:hAnsi="Cambria" w:cs="Cambria"/>
          <w:color w:val="000000"/>
          <w:u w:val="single"/>
        </w:rPr>
        <w:t>Objective 1a</w:t>
      </w:r>
      <w:r>
        <w:rPr>
          <w:rFonts w:ascii="Cambria" w:eastAsia="Cambria" w:hAnsi="Cambria" w:cs="Cambria"/>
          <w:color w:val="000000"/>
        </w:rPr>
        <w:t xml:space="preserve">. </w:t>
      </w:r>
      <w:r>
        <w:rPr>
          <w:rFonts w:ascii="Cambria" w:eastAsia="Cambria" w:hAnsi="Cambria" w:cs="Cambria"/>
          <w:color w:val="000000"/>
          <w:u w:val="single"/>
        </w:rPr>
        <w:t>Students demonstrate a broad understanding of scientific psychology</w:t>
      </w:r>
      <w:r>
        <w:rPr>
          <w:rFonts w:ascii="Cambria" w:eastAsia="Cambria" w:hAnsi="Cambria" w:cs="Cambria"/>
          <w:color w:val="000000"/>
        </w:rPr>
        <w:t xml:space="preserve">, including biological aspects of behavior, cognitive and affective aspects of behavior, social aspects of behavior, human development across the lifespan, and history and systems of psychology. This objective is realized through a series of </w:t>
      </w:r>
      <w:r>
        <w:rPr>
          <w:rFonts w:ascii="Cambria" w:eastAsia="Cambria" w:hAnsi="Cambria" w:cs="Cambria"/>
          <w:b/>
          <w:color w:val="000000"/>
        </w:rPr>
        <w:t>required foundational courses</w:t>
      </w:r>
      <w:r>
        <w:rPr>
          <w:rFonts w:ascii="Cambria" w:eastAsia="Cambria" w:hAnsi="Cambria" w:cs="Cambria"/>
          <w:color w:val="000000"/>
        </w:rPr>
        <w:t xml:space="preserve"> that students take during their first three years in the program (see pp. 52-62).  </w:t>
      </w:r>
    </w:p>
    <w:p w14:paraId="0000009A" w14:textId="77777777" w:rsidR="00CD3527" w:rsidRDefault="00CD3527">
      <w:pPr>
        <w:pBdr>
          <w:top w:val="nil"/>
          <w:left w:val="nil"/>
          <w:bottom w:val="nil"/>
          <w:right w:val="nil"/>
          <w:between w:val="nil"/>
        </w:pBdr>
        <w:tabs>
          <w:tab w:val="left" w:pos="720"/>
        </w:tabs>
        <w:ind w:left="180"/>
        <w:rPr>
          <w:rFonts w:ascii="Cambria" w:eastAsia="Cambria" w:hAnsi="Cambria" w:cs="Cambria"/>
          <w:color w:val="000000"/>
        </w:rPr>
      </w:pPr>
    </w:p>
    <w:p w14:paraId="0000009B" w14:textId="77777777" w:rsidR="00CD3527" w:rsidRDefault="007F4AED">
      <w:pPr>
        <w:pBdr>
          <w:top w:val="nil"/>
          <w:left w:val="nil"/>
          <w:bottom w:val="nil"/>
          <w:right w:val="nil"/>
          <w:between w:val="nil"/>
        </w:pBdr>
        <w:ind w:left="720"/>
        <w:rPr>
          <w:rFonts w:ascii="Cambria" w:eastAsia="Cambria" w:hAnsi="Cambria" w:cs="Cambria"/>
          <w:color w:val="000000"/>
        </w:rPr>
      </w:pPr>
      <w:r>
        <w:rPr>
          <w:rFonts w:ascii="Cambria" w:eastAsia="Cambria" w:hAnsi="Cambria" w:cs="Cambria"/>
          <w:color w:val="000000"/>
          <w:u w:val="single"/>
        </w:rPr>
        <w:t>Objective 1b.</w:t>
      </w:r>
      <w:r>
        <w:rPr>
          <w:rFonts w:ascii="Cambria" w:eastAsia="Cambria" w:hAnsi="Cambria" w:cs="Cambria"/>
          <w:color w:val="000000"/>
        </w:rPr>
        <w:t xml:space="preserve"> </w:t>
      </w:r>
      <w:r>
        <w:rPr>
          <w:rFonts w:ascii="Cambria" w:eastAsia="Cambria" w:hAnsi="Cambria" w:cs="Cambria"/>
          <w:color w:val="000000"/>
          <w:u w:val="single"/>
        </w:rPr>
        <w:t>Students become proficient at research methods, statistics, and techniques of data collection and analysis</w:t>
      </w:r>
      <w:r>
        <w:rPr>
          <w:rFonts w:ascii="Cambria" w:eastAsia="Cambria" w:hAnsi="Cambria" w:cs="Cambria"/>
          <w:color w:val="000000"/>
        </w:rPr>
        <w:t xml:space="preserve">. This objective is realized through a series of </w:t>
      </w:r>
      <w:r>
        <w:rPr>
          <w:rFonts w:ascii="Cambria" w:eastAsia="Cambria" w:hAnsi="Cambria" w:cs="Cambria"/>
          <w:b/>
          <w:color w:val="000000"/>
        </w:rPr>
        <w:t>required measurement, statistics, and research methods courses</w:t>
      </w:r>
      <w:r>
        <w:rPr>
          <w:rFonts w:ascii="Cambria" w:eastAsia="Cambria" w:hAnsi="Cambria" w:cs="Cambria"/>
          <w:color w:val="000000"/>
        </w:rPr>
        <w:t xml:space="preserve"> students take during their first three years in the program.  </w:t>
      </w:r>
    </w:p>
    <w:p w14:paraId="0000009C" w14:textId="77777777" w:rsidR="00CD3527" w:rsidRDefault="00CD3527">
      <w:pPr>
        <w:pBdr>
          <w:top w:val="nil"/>
          <w:left w:val="nil"/>
          <w:bottom w:val="nil"/>
          <w:right w:val="nil"/>
          <w:between w:val="nil"/>
        </w:pBdr>
        <w:rPr>
          <w:rFonts w:ascii="Cambria" w:eastAsia="Cambria" w:hAnsi="Cambria" w:cs="Cambria"/>
          <w:color w:val="000000"/>
        </w:rPr>
      </w:pPr>
    </w:p>
    <w:p w14:paraId="0000009D" w14:textId="5DF8E47D" w:rsidR="00CD3527" w:rsidRDefault="007F4AED">
      <w:pPr>
        <w:pBdr>
          <w:top w:val="nil"/>
          <w:left w:val="nil"/>
          <w:bottom w:val="nil"/>
          <w:right w:val="nil"/>
          <w:between w:val="nil"/>
        </w:pBdr>
        <w:ind w:left="720"/>
        <w:rPr>
          <w:rFonts w:ascii="Cambria" w:eastAsia="Cambria" w:hAnsi="Cambria" w:cs="Cambria"/>
          <w:color w:val="000000"/>
        </w:rPr>
      </w:pPr>
      <w:r>
        <w:rPr>
          <w:rFonts w:ascii="Cambria" w:eastAsia="Cambria" w:hAnsi="Cambria" w:cs="Cambria"/>
          <w:color w:val="000000"/>
          <w:u w:val="single"/>
        </w:rPr>
        <w:t>Objective 1c.</w:t>
      </w:r>
      <w:r>
        <w:rPr>
          <w:rFonts w:ascii="Cambria" w:eastAsia="Cambria" w:hAnsi="Cambria" w:cs="Cambria"/>
          <w:color w:val="000000"/>
        </w:rPr>
        <w:t xml:space="preserve"> </w:t>
      </w:r>
      <w:r>
        <w:rPr>
          <w:rFonts w:ascii="Cambria" w:eastAsia="Cambria" w:hAnsi="Cambria" w:cs="Cambria"/>
          <w:color w:val="000000"/>
          <w:u w:val="single"/>
        </w:rPr>
        <w:t>Students design, conduct, present, evaluate and publish empirical studies</w:t>
      </w:r>
      <w:r>
        <w:rPr>
          <w:rFonts w:ascii="Cambria" w:eastAsia="Cambria" w:hAnsi="Cambria" w:cs="Cambria"/>
          <w:color w:val="000000"/>
        </w:rPr>
        <w:t xml:space="preserve">. This objective is realized primarily through participation in faculty-run research teams (labs), and one-on-one advising with faculty members on research projects. </w:t>
      </w:r>
      <w:r>
        <w:rPr>
          <w:rFonts w:ascii="Cambria" w:eastAsia="Cambria" w:hAnsi="Cambria" w:cs="Cambria"/>
          <w:b/>
          <w:color w:val="000000"/>
        </w:rPr>
        <w:t>Each student is also required to complete a second-year research project (Master’s thesis) and present their research at one of our in-house colloquia as part of their certification (CERT) exam in the third year</w:t>
      </w:r>
      <w:r>
        <w:rPr>
          <w:rFonts w:ascii="Cambria" w:eastAsia="Cambria" w:hAnsi="Cambria" w:cs="Cambria"/>
          <w:color w:val="000000"/>
        </w:rPr>
        <w:t xml:space="preserve">. Students are required to present their projects and provide constructive feedback on other students’ and speakers’ work during the three-year Colloquium </w:t>
      </w:r>
      <w:r w:rsidR="00FC5EAF">
        <w:rPr>
          <w:rFonts w:ascii="Cambria" w:eastAsia="Cambria" w:hAnsi="Cambria" w:cs="Cambria"/>
          <w:color w:val="000000"/>
        </w:rPr>
        <w:t xml:space="preserve">in Clinical Psychology </w:t>
      </w:r>
      <w:r>
        <w:rPr>
          <w:rFonts w:ascii="Cambria" w:eastAsia="Cambria" w:hAnsi="Cambria" w:cs="Cambria"/>
          <w:color w:val="000000"/>
        </w:rPr>
        <w:t xml:space="preserve">series.  </w:t>
      </w:r>
      <w:r w:rsidR="00B25E07" w:rsidRPr="00B3065A">
        <w:rPr>
          <w:rFonts w:ascii="Cambria" w:eastAsia="Cambria" w:hAnsi="Cambria" w:cs="Cambria"/>
          <w:b/>
          <w:bCs/>
          <w:color w:val="000000"/>
        </w:rPr>
        <w:t>Attendance of the Colloquium is mandatory for all first, second, and third</w:t>
      </w:r>
      <w:r w:rsidR="00B25E07">
        <w:rPr>
          <w:rFonts w:ascii="Cambria" w:eastAsia="Cambria" w:hAnsi="Cambria" w:cs="Cambria"/>
          <w:b/>
          <w:bCs/>
          <w:color w:val="000000"/>
        </w:rPr>
        <w:t>-</w:t>
      </w:r>
      <w:r w:rsidR="00B25E07" w:rsidRPr="00B3065A">
        <w:rPr>
          <w:rFonts w:ascii="Cambria" w:eastAsia="Cambria" w:hAnsi="Cambria" w:cs="Cambria"/>
          <w:b/>
          <w:bCs/>
          <w:color w:val="000000"/>
        </w:rPr>
        <w:t>year students.</w:t>
      </w:r>
      <w:r w:rsidR="00B25E07">
        <w:rPr>
          <w:rFonts w:ascii="Cambria" w:eastAsia="Cambria" w:hAnsi="Cambria" w:cs="Cambria"/>
          <w:color w:val="000000"/>
        </w:rPr>
        <w:t xml:space="preserve"> </w:t>
      </w:r>
      <w:r>
        <w:rPr>
          <w:rFonts w:ascii="Cambria" w:eastAsia="Cambria" w:hAnsi="Cambria" w:cs="Cambria"/>
          <w:color w:val="000000"/>
        </w:rPr>
        <w:t>Finally, they are required to complete an empirically-driven dissertation. Our students consistently excel in their dissertation research, as reflected in the extremely high percentage of those who receive the “minor revisions” designation at their dissertation defenses, and in the high numbers of our students who present their research at professional conferences and/or co-author journal articles.</w:t>
      </w:r>
    </w:p>
    <w:p w14:paraId="0000009E" w14:textId="77777777" w:rsidR="00CD3527" w:rsidRDefault="00CD3527">
      <w:pPr>
        <w:pBdr>
          <w:top w:val="nil"/>
          <w:left w:val="nil"/>
          <w:bottom w:val="nil"/>
          <w:right w:val="nil"/>
          <w:between w:val="nil"/>
        </w:pBdr>
        <w:tabs>
          <w:tab w:val="left" w:pos="720"/>
        </w:tabs>
        <w:rPr>
          <w:rFonts w:ascii="Cambria" w:eastAsia="Cambria" w:hAnsi="Cambria" w:cs="Cambria"/>
          <w:color w:val="000000"/>
        </w:rPr>
      </w:pPr>
    </w:p>
    <w:p w14:paraId="0000009F"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b/>
          <w:i/>
          <w:color w:val="000000"/>
        </w:rPr>
        <w:t>Goal 2.</w:t>
      </w:r>
      <w:r>
        <w:rPr>
          <w:rFonts w:ascii="Cambria" w:eastAsia="Cambria" w:hAnsi="Cambria" w:cs="Cambria"/>
          <w:i/>
          <w:color w:val="000000"/>
        </w:rPr>
        <w:t xml:space="preserve"> </w:t>
      </w:r>
      <w:r>
        <w:rPr>
          <w:rFonts w:ascii="Cambria" w:eastAsia="Cambria" w:hAnsi="Cambria" w:cs="Cambria"/>
          <w:b/>
          <w:i/>
          <w:color w:val="000000"/>
        </w:rPr>
        <w:t>Clinical Theory and Practice:</w:t>
      </w:r>
      <w:r>
        <w:rPr>
          <w:rFonts w:ascii="Cambria" w:eastAsia="Cambria" w:hAnsi="Cambria" w:cs="Cambria"/>
          <w:i/>
          <w:color w:val="000000"/>
        </w:rPr>
        <w:t xml:space="preserve"> </w:t>
      </w:r>
      <w:r>
        <w:rPr>
          <w:rFonts w:ascii="Cambria" w:eastAsia="Cambria" w:hAnsi="Cambria" w:cs="Cambria"/>
          <w:b/>
          <w:i/>
          <w:color w:val="000000"/>
        </w:rPr>
        <w:t>To prepare clinical psychologists who provide psychologically appropriate services to diverse clients in a variety of settings.</w:t>
      </w:r>
      <w:r>
        <w:rPr>
          <w:rFonts w:ascii="Cambria" w:eastAsia="Cambria" w:hAnsi="Cambria" w:cs="Cambria"/>
          <w:color w:val="000000"/>
        </w:rPr>
        <w:t xml:space="preserve"> </w:t>
      </w:r>
    </w:p>
    <w:p w14:paraId="000000A0" w14:textId="77777777" w:rsidR="00CD3527" w:rsidRDefault="00CD3527">
      <w:pPr>
        <w:pBdr>
          <w:top w:val="nil"/>
          <w:left w:val="nil"/>
          <w:bottom w:val="nil"/>
          <w:right w:val="nil"/>
          <w:between w:val="nil"/>
        </w:pBdr>
        <w:rPr>
          <w:rFonts w:ascii="Cambria" w:eastAsia="Cambria" w:hAnsi="Cambria" w:cs="Cambria"/>
          <w:color w:val="000000"/>
        </w:rPr>
      </w:pPr>
    </w:p>
    <w:p w14:paraId="000000A1" w14:textId="306277A3" w:rsidR="00CD3527" w:rsidRDefault="007F4AED">
      <w:pPr>
        <w:pBdr>
          <w:top w:val="nil"/>
          <w:left w:val="nil"/>
          <w:bottom w:val="nil"/>
          <w:right w:val="nil"/>
          <w:between w:val="nil"/>
        </w:pBdr>
        <w:ind w:left="720"/>
        <w:rPr>
          <w:rFonts w:ascii="Cambria" w:eastAsia="Cambria" w:hAnsi="Cambria" w:cs="Cambria"/>
          <w:color w:val="000000"/>
        </w:rPr>
      </w:pPr>
      <w:r>
        <w:rPr>
          <w:rFonts w:ascii="Cambria" w:eastAsia="Cambria" w:hAnsi="Cambria" w:cs="Cambria"/>
          <w:color w:val="000000"/>
          <w:u w:val="single"/>
        </w:rPr>
        <w:t>Objective 2a</w:t>
      </w:r>
      <w:r>
        <w:rPr>
          <w:rFonts w:ascii="Cambria" w:eastAsia="Cambria" w:hAnsi="Cambria" w:cs="Cambria"/>
          <w:color w:val="000000"/>
        </w:rPr>
        <w:t xml:space="preserve">. </w:t>
      </w:r>
      <w:r>
        <w:rPr>
          <w:rFonts w:ascii="Cambria" w:eastAsia="Cambria" w:hAnsi="Cambria" w:cs="Cambria"/>
          <w:color w:val="000000"/>
          <w:u w:val="single"/>
        </w:rPr>
        <w:t>Students attain at least entry-level proficiency in a broad range of clinical theory and practice, including theories and methods of assessment, consultation, supervision, and intervention</w:t>
      </w:r>
      <w:r>
        <w:rPr>
          <w:rFonts w:ascii="Cambria" w:eastAsia="Cambria" w:hAnsi="Cambria" w:cs="Cambria"/>
          <w:color w:val="000000"/>
        </w:rPr>
        <w:t xml:space="preserve">. During the second and third year,     the program offers training (including supervision) in psychodynamic therapy, CBT, DBT, Interpersonal Psychotherapy, Emotion Regulation Therapy, Child/Adolescent therapy, Neuropsychological Assessment, and Family Therapy. Students should achieve entry-level competency within each model they are studying, including </w:t>
      </w:r>
      <w:r w:rsidR="00906BDD">
        <w:rPr>
          <w:rFonts w:ascii="Cambria" w:eastAsia="Cambria" w:hAnsi="Cambria" w:cs="Cambria"/>
          <w:color w:val="000000"/>
        </w:rPr>
        <w:t xml:space="preserve">generating </w:t>
      </w:r>
      <w:r>
        <w:rPr>
          <w:rFonts w:ascii="Cambria" w:eastAsia="Cambria" w:hAnsi="Cambria" w:cs="Cambria"/>
          <w:color w:val="000000"/>
        </w:rPr>
        <w:t xml:space="preserve">a hypothesis-driven case formulation; attaining basic clinical skills (e.g., empathic listening); using core strategies of evidence-based treatments; clinically monitoring clients; taking into consideration developmental, social, and cultural issues across the lifespan; and establishing an effective therapeutic relationship. These objectives are attained through experience in the rotations noted above, as well as through coursework, supervision, and case conference. </w:t>
      </w:r>
      <w:r w:rsidR="00B25E07">
        <w:rPr>
          <w:rFonts w:ascii="Cambria" w:eastAsia="Cambria" w:hAnsi="Cambria" w:cs="Cambria"/>
          <w:color w:val="000000"/>
        </w:rPr>
        <w:t xml:space="preserve">Students in their first three years  are required to attend the Clinical Case Conference, where the third year students present each a clinical case for feedback and reflection with the other students, faculty, and supervisors. The Clinical Case Conference meets weekly and, in addition to the students’ case presentations, includes talks and workshops on critical and/or novel clinical issues.  </w:t>
      </w:r>
      <w:r w:rsidR="00B25E07" w:rsidRPr="00926D1D">
        <w:rPr>
          <w:rFonts w:ascii="Cambria" w:eastAsia="Cambria" w:hAnsi="Cambria" w:cs="Cambria"/>
          <w:b/>
          <w:bCs/>
          <w:color w:val="000000"/>
        </w:rPr>
        <w:t xml:space="preserve">Attendance of the </w:t>
      </w:r>
      <w:r w:rsidR="00B25E07">
        <w:rPr>
          <w:rFonts w:ascii="Cambria" w:eastAsia="Cambria" w:hAnsi="Cambria" w:cs="Cambria"/>
          <w:b/>
          <w:bCs/>
          <w:color w:val="000000"/>
        </w:rPr>
        <w:t>Case Conference</w:t>
      </w:r>
      <w:r w:rsidR="00B25E07" w:rsidRPr="00926D1D">
        <w:rPr>
          <w:rFonts w:ascii="Cambria" w:eastAsia="Cambria" w:hAnsi="Cambria" w:cs="Cambria"/>
          <w:b/>
          <w:bCs/>
          <w:color w:val="000000"/>
        </w:rPr>
        <w:t xml:space="preserve"> is mandatory for all first, second, and third</w:t>
      </w:r>
      <w:r w:rsidR="00B25E07">
        <w:rPr>
          <w:rFonts w:ascii="Cambria" w:eastAsia="Cambria" w:hAnsi="Cambria" w:cs="Cambria"/>
          <w:b/>
          <w:bCs/>
          <w:color w:val="000000"/>
        </w:rPr>
        <w:t>-</w:t>
      </w:r>
      <w:r w:rsidR="00B25E07" w:rsidRPr="00926D1D">
        <w:rPr>
          <w:rFonts w:ascii="Cambria" w:eastAsia="Cambria" w:hAnsi="Cambria" w:cs="Cambria"/>
          <w:b/>
          <w:bCs/>
          <w:color w:val="000000"/>
        </w:rPr>
        <w:t>year students.</w:t>
      </w:r>
    </w:p>
    <w:p w14:paraId="000000A2" w14:textId="77777777" w:rsidR="00CD3527" w:rsidRDefault="00CD3527">
      <w:pPr>
        <w:pBdr>
          <w:top w:val="nil"/>
          <w:left w:val="nil"/>
          <w:bottom w:val="nil"/>
          <w:right w:val="nil"/>
          <w:between w:val="nil"/>
        </w:pBdr>
        <w:tabs>
          <w:tab w:val="left" w:pos="720"/>
        </w:tabs>
        <w:ind w:left="180"/>
        <w:rPr>
          <w:rFonts w:ascii="Cambria" w:eastAsia="Cambria" w:hAnsi="Cambria" w:cs="Cambria"/>
          <w:color w:val="000000"/>
        </w:rPr>
      </w:pPr>
    </w:p>
    <w:p w14:paraId="000000A3" w14:textId="77777777" w:rsidR="00CD3527" w:rsidRDefault="007F4AED">
      <w:pPr>
        <w:pBdr>
          <w:top w:val="nil"/>
          <w:left w:val="nil"/>
          <w:bottom w:val="nil"/>
          <w:right w:val="nil"/>
          <w:between w:val="nil"/>
        </w:pBdr>
        <w:ind w:left="720"/>
        <w:rPr>
          <w:rFonts w:ascii="Cambria" w:eastAsia="Cambria" w:hAnsi="Cambria" w:cs="Cambria"/>
          <w:color w:val="000000"/>
        </w:rPr>
      </w:pPr>
      <w:r>
        <w:rPr>
          <w:rFonts w:ascii="Cambria" w:eastAsia="Cambria" w:hAnsi="Cambria" w:cs="Cambria"/>
          <w:color w:val="000000"/>
          <w:u w:val="single"/>
        </w:rPr>
        <w:t>Objective 2b.</w:t>
      </w:r>
      <w:r>
        <w:rPr>
          <w:rFonts w:ascii="Cambria" w:eastAsia="Cambria" w:hAnsi="Cambria" w:cs="Cambria"/>
          <w:color w:val="000000"/>
        </w:rPr>
        <w:t xml:space="preserve"> </w:t>
      </w:r>
      <w:r>
        <w:rPr>
          <w:rFonts w:ascii="Cambria" w:eastAsia="Cambria" w:hAnsi="Cambria" w:cs="Cambria"/>
          <w:color w:val="000000"/>
          <w:u w:val="single"/>
        </w:rPr>
        <w:t>Students' clinical work is informed by established and developing scholarship in the field and they are able to effectively integrate theory, research, and practice</w:t>
      </w:r>
      <w:r>
        <w:rPr>
          <w:rFonts w:ascii="Cambria" w:eastAsia="Cambria" w:hAnsi="Cambria" w:cs="Cambria"/>
          <w:color w:val="000000"/>
        </w:rPr>
        <w:t xml:space="preserve">. Virtually all our clinical courses include both theoretical and research-focused readings and many require papers that focus on the integration of theory, practice, and current research. Student presentations at case conference and colloquium (each required in the third year) explicitly require the integration of theory, practice, and research. </w:t>
      </w:r>
    </w:p>
    <w:p w14:paraId="000000A4" w14:textId="77777777" w:rsidR="00CD3527" w:rsidRDefault="00CD3527">
      <w:pPr>
        <w:pBdr>
          <w:top w:val="nil"/>
          <w:left w:val="nil"/>
          <w:bottom w:val="nil"/>
          <w:right w:val="nil"/>
          <w:between w:val="nil"/>
        </w:pBdr>
        <w:ind w:left="720"/>
        <w:rPr>
          <w:rFonts w:ascii="Cambria" w:eastAsia="Cambria" w:hAnsi="Cambria" w:cs="Cambria"/>
          <w:color w:val="000000"/>
        </w:rPr>
      </w:pPr>
    </w:p>
    <w:p w14:paraId="000000A5"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b/>
          <w:i/>
          <w:color w:val="000000"/>
        </w:rPr>
        <w:t>Goal 3.</w:t>
      </w:r>
      <w:r>
        <w:rPr>
          <w:rFonts w:ascii="Cambria" w:eastAsia="Cambria" w:hAnsi="Cambria" w:cs="Cambria"/>
          <w:b/>
          <w:color w:val="000000"/>
        </w:rPr>
        <w:t xml:space="preserve"> </w:t>
      </w:r>
      <w:r>
        <w:rPr>
          <w:rFonts w:ascii="Cambria" w:eastAsia="Cambria" w:hAnsi="Cambria" w:cs="Cambria"/>
          <w:b/>
          <w:i/>
          <w:color w:val="000000"/>
        </w:rPr>
        <w:t>Professional Identity and Service:</w:t>
      </w:r>
      <w:r>
        <w:rPr>
          <w:rFonts w:ascii="Cambria" w:eastAsia="Cambria" w:hAnsi="Cambria" w:cs="Cambria"/>
          <w:i/>
          <w:color w:val="000000"/>
        </w:rPr>
        <w:t xml:space="preserve"> </w:t>
      </w:r>
      <w:r>
        <w:rPr>
          <w:rFonts w:ascii="Cambria" w:eastAsia="Cambria" w:hAnsi="Cambria" w:cs="Cambria"/>
          <w:b/>
          <w:i/>
          <w:color w:val="000000"/>
        </w:rPr>
        <w:t>To prepare clinical psychologists who are socialized into the profession and committed to professional standards and ethics And lifelong learning</w:t>
      </w:r>
    </w:p>
    <w:p w14:paraId="000000A6" w14:textId="77777777" w:rsidR="00CD3527" w:rsidRDefault="00CD3527">
      <w:pPr>
        <w:pBdr>
          <w:top w:val="nil"/>
          <w:left w:val="nil"/>
          <w:bottom w:val="nil"/>
          <w:right w:val="nil"/>
          <w:between w:val="nil"/>
        </w:pBdr>
        <w:rPr>
          <w:rFonts w:ascii="Cambria" w:eastAsia="Cambria" w:hAnsi="Cambria" w:cs="Cambria"/>
          <w:color w:val="000000"/>
        </w:rPr>
      </w:pPr>
    </w:p>
    <w:p w14:paraId="000000A7" w14:textId="77777777" w:rsidR="00CD3527" w:rsidRDefault="007F4AED">
      <w:pPr>
        <w:pBdr>
          <w:top w:val="nil"/>
          <w:left w:val="nil"/>
          <w:bottom w:val="nil"/>
          <w:right w:val="nil"/>
          <w:between w:val="nil"/>
        </w:pBdr>
        <w:ind w:left="720"/>
        <w:rPr>
          <w:rFonts w:ascii="Cambria" w:eastAsia="Cambria" w:hAnsi="Cambria" w:cs="Cambria"/>
          <w:color w:val="000000"/>
        </w:rPr>
      </w:pPr>
      <w:r>
        <w:rPr>
          <w:rFonts w:ascii="Cambria" w:eastAsia="Cambria" w:hAnsi="Cambria" w:cs="Cambria"/>
          <w:color w:val="000000"/>
          <w:u w:val="single"/>
        </w:rPr>
        <w:t>Objective 3a.</w:t>
      </w:r>
      <w:r>
        <w:rPr>
          <w:rFonts w:ascii="Cambria" w:eastAsia="Cambria" w:hAnsi="Cambria" w:cs="Cambria"/>
          <w:color w:val="000000"/>
        </w:rPr>
        <w:t xml:space="preserve"> </w:t>
      </w:r>
      <w:r>
        <w:rPr>
          <w:rFonts w:ascii="Cambria" w:eastAsia="Cambria" w:hAnsi="Cambria" w:cs="Cambria"/>
          <w:color w:val="000000"/>
          <w:u w:val="single"/>
        </w:rPr>
        <w:t>Students contribute to clinical psychology as a specialty discipline through scholarship and service</w:t>
      </w:r>
      <w:r>
        <w:rPr>
          <w:rFonts w:ascii="Cambria" w:eastAsia="Cambria" w:hAnsi="Cambria" w:cs="Cambria"/>
          <w:color w:val="000000"/>
        </w:rPr>
        <w:t xml:space="preserve">. Students are required during each semester of their first three years in the program to attend regularly scheduled colloquia, typically research presentations by faculty and students in our program and by outside speakers. Students are strongly encouraged to join APA, Association for Psychological Science (APS), and NYSPA as student affiliates and to join other organizations (e.g., Society for Psychotherapy Research; Association for Behavioral and Cognitive Therapies) that are consistent with their individual interests. </w:t>
      </w:r>
    </w:p>
    <w:p w14:paraId="000000A8" w14:textId="77777777" w:rsidR="00CD3527" w:rsidRDefault="00CD3527">
      <w:pPr>
        <w:pBdr>
          <w:top w:val="nil"/>
          <w:left w:val="nil"/>
          <w:bottom w:val="nil"/>
          <w:right w:val="nil"/>
          <w:between w:val="nil"/>
        </w:pBdr>
        <w:rPr>
          <w:rFonts w:ascii="Cambria" w:eastAsia="Cambria" w:hAnsi="Cambria" w:cs="Cambria"/>
          <w:color w:val="000000"/>
        </w:rPr>
      </w:pPr>
    </w:p>
    <w:p w14:paraId="000000A9" w14:textId="77777777" w:rsidR="00CD3527" w:rsidRDefault="007F4AED">
      <w:pPr>
        <w:pBdr>
          <w:top w:val="nil"/>
          <w:left w:val="nil"/>
          <w:bottom w:val="nil"/>
          <w:right w:val="nil"/>
          <w:between w:val="nil"/>
        </w:pBdr>
        <w:ind w:left="720"/>
        <w:rPr>
          <w:rFonts w:ascii="Cambria" w:eastAsia="Cambria" w:hAnsi="Cambria" w:cs="Cambria"/>
          <w:color w:val="000000"/>
        </w:rPr>
      </w:pPr>
      <w:r>
        <w:rPr>
          <w:rFonts w:ascii="Cambria" w:eastAsia="Cambria" w:hAnsi="Cambria" w:cs="Cambria"/>
          <w:color w:val="000000"/>
          <w:u w:val="single"/>
        </w:rPr>
        <w:t>Objective 3b.</w:t>
      </w:r>
      <w:r>
        <w:rPr>
          <w:rFonts w:ascii="Cambria" w:eastAsia="Cambria" w:hAnsi="Cambria" w:cs="Cambria"/>
          <w:color w:val="000000"/>
        </w:rPr>
        <w:t xml:space="preserve"> </w:t>
      </w:r>
      <w:r>
        <w:rPr>
          <w:rFonts w:ascii="Cambria" w:eastAsia="Cambria" w:hAnsi="Cambria" w:cs="Cambria"/>
          <w:color w:val="000000"/>
          <w:u w:val="single"/>
        </w:rPr>
        <w:t>Students demonstrate commitment to professional standards and ethics</w:t>
      </w:r>
      <w:r>
        <w:rPr>
          <w:rFonts w:ascii="Cambria" w:eastAsia="Cambria" w:hAnsi="Cambria" w:cs="Cambria"/>
          <w:color w:val="000000"/>
        </w:rPr>
        <w:t>. In their first semester, students take a required course in Ethical and Professional Issues in which the ethical principles are discussed extensively. In this course, students are also exposed to the workings of the APA and local psychology organizations (e.g., NYSPA). In all clinical and research experiences, students are required to demonstrate ethical and professional conduct.</w:t>
      </w:r>
    </w:p>
    <w:p w14:paraId="000000AA" w14:textId="77777777" w:rsidR="00CD3527" w:rsidRDefault="00CD3527">
      <w:pPr>
        <w:pBdr>
          <w:top w:val="nil"/>
          <w:left w:val="nil"/>
          <w:bottom w:val="nil"/>
          <w:right w:val="nil"/>
          <w:between w:val="nil"/>
        </w:pBdr>
        <w:rPr>
          <w:rFonts w:ascii="Cambria" w:eastAsia="Cambria" w:hAnsi="Cambria" w:cs="Cambria"/>
          <w:color w:val="000000"/>
        </w:rPr>
      </w:pPr>
    </w:p>
    <w:p w14:paraId="000000AB"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b/>
          <w:i/>
          <w:color w:val="000000"/>
        </w:rPr>
        <w:t xml:space="preserve">Goal 4. Diversity: To prepare clinical psychologists who can work effectively with diverse populations in a number of clinical settings. </w:t>
      </w:r>
    </w:p>
    <w:p w14:paraId="000000AC" w14:textId="77777777" w:rsidR="00CD3527" w:rsidRDefault="00CD3527">
      <w:pPr>
        <w:pBdr>
          <w:top w:val="nil"/>
          <w:left w:val="nil"/>
          <w:bottom w:val="nil"/>
          <w:right w:val="nil"/>
          <w:between w:val="nil"/>
        </w:pBdr>
        <w:rPr>
          <w:rFonts w:ascii="Cambria" w:eastAsia="Cambria" w:hAnsi="Cambria" w:cs="Cambria"/>
          <w:color w:val="000000"/>
        </w:rPr>
      </w:pPr>
    </w:p>
    <w:p w14:paraId="000000AD" w14:textId="009AE994" w:rsidR="00CD3527" w:rsidRDefault="007F4AED">
      <w:pPr>
        <w:pBdr>
          <w:top w:val="nil"/>
          <w:left w:val="nil"/>
          <w:bottom w:val="nil"/>
          <w:right w:val="nil"/>
          <w:between w:val="nil"/>
        </w:pBdr>
        <w:ind w:left="720"/>
        <w:rPr>
          <w:rFonts w:ascii="Cambria" w:eastAsia="Cambria" w:hAnsi="Cambria" w:cs="Cambria"/>
          <w:color w:val="000000"/>
        </w:rPr>
      </w:pPr>
      <w:r>
        <w:rPr>
          <w:rFonts w:ascii="Cambria" w:eastAsia="Cambria" w:hAnsi="Cambria" w:cs="Cambria"/>
          <w:color w:val="000000"/>
          <w:u w:val="single"/>
        </w:rPr>
        <w:t>Objective 4a.</w:t>
      </w:r>
      <w:r>
        <w:rPr>
          <w:rFonts w:ascii="Cambria" w:eastAsia="Cambria" w:hAnsi="Cambria" w:cs="Cambria"/>
          <w:color w:val="000000"/>
        </w:rPr>
        <w:t xml:space="preserve"> </w:t>
      </w:r>
      <w:r>
        <w:rPr>
          <w:rFonts w:ascii="Cambria" w:eastAsia="Cambria" w:hAnsi="Cambria" w:cs="Cambria"/>
          <w:color w:val="000000"/>
          <w:u w:val="single"/>
        </w:rPr>
        <w:t xml:space="preserve">Students demonstrate understanding of issues of cultural and individual diversity </w:t>
      </w:r>
      <w:r>
        <w:rPr>
          <w:rFonts w:ascii="Cambria" w:eastAsia="Cambria" w:hAnsi="Cambria" w:cs="Cambria"/>
          <w:color w:val="000000"/>
        </w:rPr>
        <w:t xml:space="preserve">(e.g., race, ethnicity, language, religion, socioeconomic status, gender, and sexual orientation). Students are required to take CCPX 5036: Clinical Work with Diverse Populations. Moreover, virtually all courses in the program reflect the need of psychologists to be aware of and sensitive to </w:t>
      </w:r>
      <w:r w:rsidR="00F95C94" w:rsidRPr="00F95C94">
        <w:rPr>
          <w:rFonts w:ascii="Cambria" w:eastAsia="Cambria" w:hAnsi="Cambria" w:cs="Cambria"/>
          <w:color w:val="000000"/>
        </w:rPr>
        <w:t>multiple diversities that characterize human beings and communities</w:t>
      </w:r>
      <w:r>
        <w:rPr>
          <w:rFonts w:ascii="Cambria" w:eastAsia="Cambria" w:hAnsi="Cambria" w:cs="Cambria"/>
          <w:color w:val="000000"/>
        </w:rPr>
        <w:t xml:space="preserve">. Students need to be able to evaluate clients’ social and cultural context––including clients’ </w:t>
      </w:r>
      <w:r w:rsidR="004D7AB8">
        <w:rPr>
          <w:rFonts w:ascii="Cambria" w:eastAsia="Cambria" w:hAnsi="Cambria" w:cs="Cambria"/>
          <w:color w:val="000000"/>
        </w:rPr>
        <w:t xml:space="preserve">experiences, </w:t>
      </w:r>
      <w:r>
        <w:rPr>
          <w:rFonts w:ascii="Cambria" w:eastAsia="Cambria" w:hAnsi="Cambria" w:cs="Cambria"/>
          <w:color w:val="000000"/>
        </w:rPr>
        <w:t xml:space="preserve">values, priorities, and needs. Students also need to be aware of their own </w:t>
      </w:r>
      <w:r w:rsidR="007401EC">
        <w:rPr>
          <w:rFonts w:ascii="Cambria" w:eastAsia="Cambria" w:hAnsi="Cambria" w:cs="Cambria"/>
          <w:color w:val="000000"/>
        </w:rPr>
        <w:t xml:space="preserve">cultural/social </w:t>
      </w:r>
      <w:r w:rsidR="0051216A">
        <w:rPr>
          <w:rFonts w:ascii="Cambria" w:eastAsia="Cambria" w:hAnsi="Cambria" w:cs="Cambria"/>
          <w:color w:val="000000"/>
        </w:rPr>
        <w:t xml:space="preserve">experiences and presentations </w:t>
      </w:r>
      <w:r>
        <w:rPr>
          <w:rFonts w:ascii="Cambria" w:eastAsia="Cambria" w:hAnsi="Cambria" w:cs="Cambria"/>
          <w:color w:val="000000"/>
        </w:rPr>
        <w:t xml:space="preserve">as well as how their own values and assumptions interact with those of their clients. </w:t>
      </w:r>
    </w:p>
    <w:p w14:paraId="000000AE" w14:textId="77777777" w:rsidR="00CD3527" w:rsidRDefault="00CD3527">
      <w:pPr>
        <w:pBdr>
          <w:top w:val="nil"/>
          <w:left w:val="nil"/>
          <w:bottom w:val="nil"/>
          <w:right w:val="nil"/>
          <w:between w:val="nil"/>
        </w:pBdr>
        <w:ind w:left="720"/>
        <w:rPr>
          <w:rFonts w:ascii="Cambria" w:eastAsia="Cambria" w:hAnsi="Cambria" w:cs="Cambria"/>
          <w:color w:val="000000"/>
        </w:rPr>
      </w:pPr>
    </w:p>
    <w:p w14:paraId="000000AF" w14:textId="77777777" w:rsidR="00CD3527" w:rsidRDefault="00CD3527">
      <w:pPr>
        <w:pBdr>
          <w:top w:val="nil"/>
          <w:left w:val="nil"/>
          <w:bottom w:val="nil"/>
          <w:right w:val="nil"/>
          <w:between w:val="nil"/>
        </w:pBdr>
        <w:rPr>
          <w:rFonts w:ascii="Cambria" w:eastAsia="Cambria" w:hAnsi="Cambria" w:cs="Cambria"/>
          <w:color w:val="000000"/>
        </w:rPr>
      </w:pPr>
    </w:p>
    <w:p w14:paraId="000000B0" w14:textId="77777777" w:rsidR="00CD3527" w:rsidRDefault="007F4AED">
      <w:pPr>
        <w:pBdr>
          <w:top w:val="nil"/>
          <w:left w:val="nil"/>
          <w:bottom w:val="nil"/>
          <w:right w:val="nil"/>
          <w:between w:val="nil"/>
        </w:pBdr>
        <w:ind w:left="720"/>
        <w:rPr>
          <w:rFonts w:ascii="Cambria" w:eastAsia="Cambria" w:hAnsi="Cambria" w:cs="Cambria"/>
          <w:color w:val="000000"/>
        </w:rPr>
      </w:pPr>
      <w:r>
        <w:rPr>
          <w:rFonts w:ascii="Cambria" w:eastAsia="Cambria" w:hAnsi="Cambria" w:cs="Cambria"/>
          <w:color w:val="000000"/>
          <w:u w:val="single"/>
        </w:rPr>
        <w:t>Objective 4b.</w:t>
      </w:r>
      <w:r>
        <w:rPr>
          <w:rFonts w:ascii="Cambria" w:eastAsia="Cambria" w:hAnsi="Cambria" w:cs="Cambria"/>
          <w:color w:val="000000"/>
        </w:rPr>
        <w:t xml:space="preserve"> </w:t>
      </w:r>
      <w:r>
        <w:rPr>
          <w:rFonts w:ascii="Cambria" w:eastAsia="Cambria" w:hAnsi="Cambria" w:cs="Cambria"/>
          <w:color w:val="000000"/>
          <w:u w:val="single"/>
        </w:rPr>
        <w:t>Students apply their skills as scientist-practitioners with economically, racially, culturally, and otherwise diverse populations</w:t>
      </w:r>
      <w:r>
        <w:rPr>
          <w:rFonts w:ascii="Cambria" w:eastAsia="Cambria" w:hAnsi="Cambria" w:cs="Cambria"/>
          <w:color w:val="000000"/>
        </w:rPr>
        <w:t xml:space="preserve">. This objective is implemented primarily through students' participation in their first three years in the program in practica work at our in-house clinic, The Dean Hope Center for Educational and Psychological Services. This clinic serves a remarkably diverse population, mostly drawn from the Upper West Side of Manhattan, Morningside Heights and Harlem. The most recent demographic data collected indicate that approximately 60-70% of the clients served by the clinic are Hispanic or African-American. </w:t>
      </w:r>
    </w:p>
    <w:p w14:paraId="000000B1" w14:textId="77777777" w:rsidR="00CD3527" w:rsidRDefault="00CD3527">
      <w:pPr>
        <w:pBdr>
          <w:top w:val="nil"/>
          <w:left w:val="nil"/>
          <w:bottom w:val="nil"/>
          <w:right w:val="nil"/>
          <w:between w:val="nil"/>
        </w:pBdr>
        <w:rPr>
          <w:rFonts w:ascii="Cambria" w:eastAsia="Cambria" w:hAnsi="Cambria" w:cs="Cambria"/>
          <w:color w:val="000000"/>
        </w:rPr>
      </w:pPr>
    </w:p>
    <w:p w14:paraId="000000B2"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FYI: The current (2023) APA president is Thema Bryant, Ph.D.; the current president of the New York State Psychological Association (NYSPA) is James Dean, Ph.D. Notably, too, one of the past presidents of NYSPA was (our own!) Dinelia Rosa, Ph.D.</w:t>
      </w:r>
    </w:p>
    <w:p w14:paraId="000000B3" w14:textId="77777777" w:rsidR="00CD3527" w:rsidRDefault="007F4AED">
      <w:pPr>
        <w:pBdr>
          <w:top w:val="nil"/>
          <w:left w:val="nil"/>
          <w:bottom w:val="nil"/>
          <w:right w:val="nil"/>
          <w:between w:val="nil"/>
        </w:pBdr>
        <w:rPr>
          <w:rFonts w:ascii="Cambria" w:eastAsia="Cambria" w:hAnsi="Cambria" w:cs="Cambria"/>
          <w:b/>
          <w:color w:val="000000"/>
          <w:sz w:val="32"/>
          <w:szCs w:val="32"/>
        </w:rPr>
      </w:pPr>
      <w:r>
        <w:br w:type="page"/>
      </w:r>
      <w:r>
        <w:rPr>
          <w:rFonts w:ascii="Cambria" w:eastAsia="Cambria" w:hAnsi="Cambria" w:cs="Cambria"/>
          <w:b/>
          <w:color w:val="000000"/>
          <w:sz w:val="32"/>
          <w:szCs w:val="32"/>
        </w:rPr>
        <w:lastRenderedPageBreak/>
        <w:t>Evaluation of Student Competence</w:t>
      </w:r>
    </w:p>
    <w:p w14:paraId="000000B4" w14:textId="77777777" w:rsidR="00CD3527" w:rsidRDefault="00CD3527">
      <w:pPr>
        <w:pBdr>
          <w:top w:val="nil"/>
          <w:left w:val="nil"/>
          <w:bottom w:val="nil"/>
          <w:right w:val="nil"/>
          <w:between w:val="nil"/>
        </w:pBdr>
        <w:rPr>
          <w:rFonts w:ascii="Cambria" w:eastAsia="Cambria" w:hAnsi="Cambria" w:cs="Cambria"/>
          <w:color w:val="000000"/>
        </w:rPr>
      </w:pPr>
    </w:p>
    <w:p w14:paraId="000000B5"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Our program, like all other doctoral programs in professional psychology, has an ethical obligation to determine the extent to which students adequately achieve our stated goals and objectives. We abide by the policy statement (below) developed in 2003 by the Student Competence Task Force of the Council of Chairs of Training Councils (CCTC), a consortium that includes representatives from CUDCP (Council of University Directors of Clinical Psychology Programs). This policy was developed to be consistent with a range of professional, ethical, and licensure guidelines and procedures that are relevant to processes of training, practice, and assessment of competence within professional psychology.</w:t>
      </w:r>
    </w:p>
    <w:p w14:paraId="000000B6" w14:textId="77777777" w:rsidR="00CD3527" w:rsidRDefault="007F4AED">
      <w:pPr>
        <w:pBdr>
          <w:top w:val="nil"/>
          <w:left w:val="nil"/>
          <w:bottom w:val="nil"/>
          <w:right w:val="nil"/>
          <w:between w:val="nil"/>
        </w:pBdr>
        <w:ind w:left="540"/>
        <w:rPr>
          <w:rFonts w:ascii="Cambria" w:eastAsia="Cambria" w:hAnsi="Cambria" w:cs="Cambria"/>
          <w:color w:val="000000"/>
        </w:rPr>
      </w:pPr>
      <w:r>
        <w:rPr>
          <w:rFonts w:ascii="Cambria" w:eastAsia="Cambria" w:hAnsi="Cambria" w:cs="Cambria"/>
          <w:color w:val="000000"/>
        </w:rPr>
        <w:br/>
      </w:r>
      <w:r>
        <w:rPr>
          <w:rFonts w:ascii="Cambria" w:eastAsia="Cambria" w:hAnsi="Cambria" w:cs="Cambria"/>
          <w:i/>
          <w:color w:val="000000"/>
        </w:rPr>
        <w:t xml:space="preserve">Professional psychologists are expected to demonstrate competence within and across a number of different but interrelated dimensions. Because programs that educate and train professional psychologists also strive to protect the public and profession, faculty, training staff, and supervisors in such programs have a legitimate and vested interest in the comprehensive evaluation of student competence to include multiple aspects of development and functioning (e.g., cognitive, emotional, psychological, interpersonal, technical, and ethical). </w:t>
      </w:r>
    </w:p>
    <w:p w14:paraId="000000B7" w14:textId="77777777" w:rsidR="00CD3527" w:rsidRDefault="00CD3527">
      <w:pPr>
        <w:pBdr>
          <w:top w:val="nil"/>
          <w:left w:val="nil"/>
          <w:bottom w:val="nil"/>
          <w:right w:val="nil"/>
          <w:between w:val="nil"/>
        </w:pBdr>
        <w:ind w:left="720"/>
        <w:rPr>
          <w:rFonts w:ascii="Cambria" w:eastAsia="Cambria" w:hAnsi="Cambria" w:cs="Cambria"/>
          <w:color w:val="000000"/>
        </w:rPr>
      </w:pPr>
    </w:p>
    <w:p w14:paraId="000000B8" w14:textId="77777777" w:rsidR="00CD3527" w:rsidRDefault="007F4AED">
      <w:pPr>
        <w:pBdr>
          <w:top w:val="nil"/>
          <w:left w:val="nil"/>
          <w:bottom w:val="nil"/>
          <w:right w:val="nil"/>
          <w:between w:val="nil"/>
        </w:pBdr>
        <w:ind w:left="540"/>
        <w:rPr>
          <w:rFonts w:ascii="Cambria" w:eastAsia="Cambria" w:hAnsi="Cambria" w:cs="Cambria"/>
          <w:color w:val="000000"/>
        </w:rPr>
      </w:pPr>
      <w:r>
        <w:rPr>
          <w:rFonts w:ascii="Cambria" w:eastAsia="Cambria" w:hAnsi="Cambria" w:cs="Cambria"/>
          <w:i/>
          <w:color w:val="000000"/>
        </w:rPr>
        <w:t xml:space="preserve">Not all students understand or appreciate that multiple aspects of their professional development and functioning (e.g., cognitive, emotional, psychological, interpersonal, technical, and ethical) will be evaluated throughout the process of education and training in professional psychology programs (e.g., doctoral, internship, postdoctoral). Such comprehensive evaluation is necessary in order for faculty, training staff, and supervisors to appraise the professional development and competence of their students. This policy language attempts to (a) disclose and make these expectations explicit for students at the outset of education and training, and (b) provide an opportunity for students to determine whether they do or do not wish to participate in such processes and experiences. </w:t>
      </w:r>
    </w:p>
    <w:p w14:paraId="000000B9" w14:textId="77777777" w:rsidR="00CD3527" w:rsidRDefault="00CD3527">
      <w:pPr>
        <w:pBdr>
          <w:top w:val="nil"/>
          <w:left w:val="nil"/>
          <w:bottom w:val="nil"/>
          <w:right w:val="nil"/>
          <w:between w:val="nil"/>
        </w:pBdr>
        <w:ind w:left="720"/>
        <w:rPr>
          <w:rFonts w:ascii="Cambria" w:eastAsia="Cambria" w:hAnsi="Cambria" w:cs="Cambria"/>
          <w:color w:val="000000"/>
        </w:rPr>
      </w:pPr>
    </w:p>
    <w:p w14:paraId="000000BA" w14:textId="77777777" w:rsidR="00CD3527" w:rsidRDefault="007F4AED">
      <w:pPr>
        <w:pBdr>
          <w:top w:val="nil"/>
          <w:left w:val="nil"/>
          <w:bottom w:val="nil"/>
          <w:right w:val="nil"/>
          <w:between w:val="nil"/>
        </w:pBdr>
        <w:ind w:left="540"/>
        <w:rPr>
          <w:rFonts w:ascii="Cambria" w:eastAsia="Cambria" w:hAnsi="Cambria" w:cs="Cambria"/>
          <w:color w:val="000000"/>
        </w:rPr>
      </w:pPr>
      <w:r>
        <w:rPr>
          <w:rFonts w:ascii="Cambria" w:eastAsia="Cambria" w:hAnsi="Cambria" w:cs="Cambria"/>
          <w:i/>
          <w:color w:val="000000"/>
        </w:rPr>
        <w:t>Students in psychology training programs (at the doctoral, internship, or postdoctoral level) should know—at the outset of training—that their faculty, training staff, and supervisors have a professional, ethical, and potentially legal obligation to: (a) evaluate the interpersonal competence and emotional well being of student trainees who are under their supervision, and who provide services to clients and consumers, and (b) ensure—insofar as possible—that the trainees who complete their programs are competent to manage future relationships (e.g., client, collegial, professional, public, scholarly, supervisory, teaching) in an effective and appropriate manner. Because of this commitment, professional psychology education and training programs, faculty, training staff, and supervisors strive not to "pass along" students with issues or problems (e.g., cognitive, emotional, psychological, interpersonal, technical, and ethical) that may interfere with professional competence to other programs, the profession, employers, or the public at large.</w:t>
      </w:r>
    </w:p>
    <w:p w14:paraId="000000BB" w14:textId="77777777" w:rsidR="00CD3527" w:rsidRDefault="00CD3527">
      <w:pPr>
        <w:pBdr>
          <w:top w:val="nil"/>
          <w:left w:val="nil"/>
          <w:bottom w:val="nil"/>
          <w:right w:val="nil"/>
          <w:between w:val="nil"/>
        </w:pBdr>
        <w:ind w:left="720"/>
        <w:rPr>
          <w:rFonts w:ascii="Cambria" w:eastAsia="Cambria" w:hAnsi="Cambria" w:cs="Cambria"/>
          <w:color w:val="000000"/>
        </w:rPr>
      </w:pPr>
    </w:p>
    <w:p w14:paraId="000000BC" w14:textId="77777777" w:rsidR="00CD3527" w:rsidRDefault="007F4AED">
      <w:pPr>
        <w:pBdr>
          <w:top w:val="nil"/>
          <w:left w:val="nil"/>
          <w:bottom w:val="nil"/>
          <w:right w:val="nil"/>
          <w:between w:val="nil"/>
        </w:pBdr>
        <w:ind w:left="540"/>
        <w:rPr>
          <w:rFonts w:ascii="Cambria" w:eastAsia="Cambria" w:hAnsi="Cambria" w:cs="Cambria"/>
          <w:color w:val="000000"/>
        </w:rPr>
      </w:pPr>
      <w:r>
        <w:rPr>
          <w:rFonts w:ascii="Cambria" w:eastAsia="Cambria" w:hAnsi="Cambria" w:cs="Cambria"/>
          <w:i/>
          <w:color w:val="000000"/>
        </w:rPr>
        <w:t>Therefore, within a developmental framework and with due regard for the inherent power difference between students and faculty, students and trainees should know that their faculty, training staff, and supervisors will evaluate their competence in areas other than coursework, seminars, scholarship, comprehensive examinations, or related program requirements. These evaluative areas include, but are not limited to, demonstration of sufficient: (a) interpersonal and professional competence (e.g., the ways in which students relate to clients, peers, faculty, allied professionals, the public, and individuals from diverse backgrounds or histories); (b) self-awareness, self-reflection, and self-evaluation (e.g., knowledge of the content and potential impact of one's own beliefs and values on clients, peers, faculty, allied professionals, the public, and individuals from diverse backgrounds or histories); (c) openness to processes of supervision (e.g., the ability and willingness to explore issues that either interfere with the appropriate provision of care or impede professional development or functioning); and (d) resolution of problems or issues that interfere with professional development or functioning in a satisfactory manner (e.g., by responding constructively to feedback from supervisors or program faculty; by participating in personal therapy in order to resolve problems or issues).</w:t>
      </w:r>
    </w:p>
    <w:p w14:paraId="000000BD" w14:textId="77777777" w:rsidR="00CD3527" w:rsidRDefault="00CD3527">
      <w:pPr>
        <w:pBdr>
          <w:top w:val="nil"/>
          <w:left w:val="nil"/>
          <w:bottom w:val="nil"/>
          <w:right w:val="nil"/>
          <w:between w:val="nil"/>
        </w:pBdr>
        <w:ind w:left="720"/>
        <w:rPr>
          <w:rFonts w:ascii="Cambria" w:eastAsia="Cambria" w:hAnsi="Cambria" w:cs="Cambria"/>
          <w:color w:val="000000"/>
        </w:rPr>
      </w:pPr>
    </w:p>
    <w:p w14:paraId="000000BE"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Our program evaluates student competence across multiple domains that are broadly based on our program objectives:</w:t>
      </w:r>
    </w:p>
    <w:p w14:paraId="000000BF" w14:textId="77777777" w:rsidR="00CD3527" w:rsidRDefault="007F4AED">
      <w:pPr>
        <w:numPr>
          <w:ilvl w:val="0"/>
          <w:numId w:val="39"/>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Academic performance (including coursework, grades, writing skills, class participation);</w:t>
      </w:r>
    </w:p>
    <w:p w14:paraId="000000C0" w14:textId="36F22EF1" w:rsidR="00CD3527" w:rsidRDefault="007F4AED">
      <w:pPr>
        <w:numPr>
          <w:ilvl w:val="0"/>
          <w:numId w:val="39"/>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Research performance (including research-oriented coursework, progress and quality of research projects, participation/leadership in an advisor’s lab, ability to use appropriate data analytic strategies, </w:t>
      </w:r>
      <w:r w:rsidR="007401EC">
        <w:rPr>
          <w:rFonts w:ascii="Cambria" w:eastAsia="Cambria" w:hAnsi="Cambria" w:cs="Cambria"/>
          <w:color w:val="000000"/>
        </w:rPr>
        <w:t xml:space="preserve">conference </w:t>
      </w:r>
      <w:r>
        <w:rPr>
          <w:rFonts w:ascii="Cambria" w:eastAsia="Cambria" w:hAnsi="Cambria" w:cs="Cambria"/>
          <w:color w:val="000000"/>
        </w:rPr>
        <w:t>presentations and publications, and grant proposals);</w:t>
      </w:r>
    </w:p>
    <w:p w14:paraId="000000C1" w14:textId="799CD1FA" w:rsidR="00CD3527" w:rsidRDefault="007F4AED">
      <w:pPr>
        <w:numPr>
          <w:ilvl w:val="0"/>
          <w:numId w:val="39"/>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Clinical performance (including case formulation</w:t>
      </w:r>
      <w:r w:rsidR="007401EC">
        <w:rPr>
          <w:rFonts w:ascii="Cambria" w:eastAsia="Cambria" w:hAnsi="Cambria" w:cs="Cambria"/>
          <w:color w:val="000000"/>
        </w:rPr>
        <w:t>;</w:t>
      </w:r>
      <w:r>
        <w:rPr>
          <w:rFonts w:ascii="Cambria" w:eastAsia="Cambria" w:hAnsi="Cambria" w:cs="Cambria"/>
          <w:color w:val="000000"/>
        </w:rPr>
        <w:t xml:space="preserve"> listening skills</w:t>
      </w:r>
      <w:r w:rsidR="007401EC">
        <w:rPr>
          <w:rFonts w:ascii="Cambria" w:eastAsia="Cambria" w:hAnsi="Cambria" w:cs="Cambria"/>
          <w:color w:val="000000"/>
        </w:rPr>
        <w:t xml:space="preserve">; </w:t>
      </w:r>
      <w:r>
        <w:rPr>
          <w:rFonts w:ascii="Cambria" w:eastAsia="Cambria" w:hAnsi="Cambria" w:cs="Cambria"/>
          <w:color w:val="000000"/>
        </w:rPr>
        <w:t>ability to develop and sustain an effective therapeutic alliance</w:t>
      </w:r>
      <w:r w:rsidR="007401EC">
        <w:rPr>
          <w:rFonts w:ascii="Cambria" w:eastAsia="Cambria" w:hAnsi="Cambria" w:cs="Cambria"/>
          <w:color w:val="000000"/>
        </w:rPr>
        <w:t>;</w:t>
      </w:r>
      <w:r>
        <w:rPr>
          <w:rFonts w:ascii="Cambria" w:eastAsia="Cambria" w:hAnsi="Cambria" w:cs="Cambria"/>
          <w:color w:val="000000"/>
        </w:rPr>
        <w:t xml:space="preserve"> boundary maintenance skills; </w:t>
      </w:r>
      <w:r w:rsidR="007401EC">
        <w:rPr>
          <w:rFonts w:ascii="Cambria" w:eastAsia="Cambria" w:hAnsi="Cambria" w:cs="Cambria"/>
          <w:color w:val="000000"/>
        </w:rPr>
        <w:t xml:space="preserve">and </w:t>
      </w:r>
      <w:r>
        <w:rPr>
          <w:rFonts w:ascii="Cambria" w:eastAsia="Cambria" w:hAnsi="Cambria" w:cs="Cambria"/>
          <w:color w:val="000000"/>
        </w:rPr>
        <w:t>ability to integrate theory and research with clinical interventions)</w:t>
      </w:r>
      <w:r w:rsidR="007401EC">
        <w:rPr>
          <w:rFonts w:ascii="Cambria" w:eastAsia="Cambria" w:hAnsi="Cambria" w:cs="Cambria"/>
          <w:color w:val="000000"/>
        </w:rPr>
        <w:t>.</w:t>
      </w:r>
    </w:p>
    <w:p w14:paraId="000000C2" w14:textId="77777777" w:rsidR="00CD3527" w:rsidRDefault="007F4AED">
      <w:pPr>
        <w:numPr>
          <w:ilvl w:val="0"/>
          <w:numId w:val="39"/>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Professional identity and socialization (including conscientiousness, collegiality, conference attendance and presentations; leadership and/or service to the program, department, or field; membership in professional organizations); and</w:t>
      </w:r>
    </w:p>
    <w:p w14:paraId="000000C3" w14:textId="77777777" w:rsidR="00CD3527" w:rsidRDefault="007F4AED">
      <w:pPr>
        <w:numPr>
          <w:ilvl w:val="0"/>
          <w:numId w:val="39"/>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Cultural awareness and sensitivity (including understanding of diversity and its application to practice and research). </w:t>
      </w:r>
    </w:p>
    <w:p w14:paraId="000000C4" w14:textId="77777777" w:rsidR="00CD3527" w:rsidRDefault="00CD3527">
      <w:pPr>
        <w:pBdr>
          <w:top w:val="nil"/>
          <w:left w:val="nil"/>
          <w:bottom w:val="nil"/>
          <w:right w:val="nil"/>
          <w:between w:val="nil"/>
        </w:pBdr>
        <w:rPr>
          <w:rFonts w:ascii="Cambria" w:eastAsia="Cambria" w:hAnsi="Cambria" w:cs="Cambria"/>
          <w:color w:val="000000"/>
        </w:rPr>
      </w:pPr>
    </w:p>
    <w:p w14:paraId="000000C5" w14:textId="103061B4"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More specifically: The faculty conducts yearly feedback and evaluations of students’ progress.  There are several stages to this process. First, at a meeting scheduled expressly for this purpose, all core program faculty members review each doctoral student across the multiple domains described above. This group discussion provides the context for the next stage in the process—for each student’s faculty advisor to rate his or her competence on each of these domains (as well as on Overall Rating of performance) on a 1-4 scale wherein 1 = significantly below expectations; 2 = below expectations, 3 = meets expectations; and 4 = exceeds expectations. The third stage in this process is a one-on-one meeting between each student and his or her advisor wherein the overall ratings (and faculty comments) are reviewed. Unsatisfactory </w:t>
      </w:r>
      <w:r>
        <w:rPr>
          <w:rFonts w:ascii="Cambria" w:eastAsia="Cambria" w:hAnsi="Cambria" w:cs="Cambria"/>
          <w:color w:val="000000"/>
        </w:rPr>
        <w:lastRenderedPageBreak/>
        <w:t xml:space="preserve">ratings (“2” or below) on any domain are discussed and the student’s advisor provides possible steps toward remediation. Details about grade requirements are provided on pages </w:t>
      </w:r>
      <w:sdt>
        <w:sdtPr>
          <w:tag w:val="goog_rdk_1"/>
          <w:id w:val="177631146"/>
        </w:sdtPr>
        <w:sdtEndPr/>
        <w:sdtContent/>
      </w:sdt>
      <w:r w:rsidR="009635C1">
        <w:rPr>
          <w:rFonts w:ascii="Cambria" w:eastAsia="Cambria" w:hAnsi="Cambria" w:cs="Cambria"/>
          <w:color w:val="000000"/>
        </w:rPr>
        <w:t>41</w:t>
      </w:r>
      <w:r>
        <w:rPr>
          <w:rFonts w:ascii="Cambria" w:eastAsia="Cambria" w:hAnsi="Cambria" w:cs="Cambria"/>
          <w:color w:val="000000"/>
        </w:rPr>
        <w:t>-</w:t>
      </w:r>
      <w:r w:rsidR="009635C1">
        <w:rPr>
          <w:rFonts w:ascii="Cambria" w:eastAsia="Cambria" w:hAnsi="Cambria" w:cs="Cambria"/>
          <w:color w:val="000000"/>
        </w:rPr>
        <w:t>42</w:t>
      </w:r>
      <w:r>
        <w:rPr>
          <w:rFonts w:ascii="Cambria" w:eastAsia="Cambria" w:hAnsi="Cambria" w:cs="Cambria"/>
          <w:color w:val="000000"/>
        </w:rPr>
        <w:t xml:space="preserve"> for your reference.</w:t>
      </w:r>
    </w:p>
    <w:p w14:paraId="000000C6" w14:textId="77777777" w:rsidR="00CD3527" w:rsidRDefault="00CD3527">
      <w:pPr>
        <w:pBdr>
          <w:top w:val="nil"/>
          <w:left w:val="nil"/>
          <w:bottom w:val="nil"/>
          <w:right w:val="nil"/>
          <w:between w:val="nil"/>
        </w:pBdr>
        <w:rPr>
          <w:rFonts w:ascii="Cambria" w:eastAsia="Cambria" w:hAnsi="Cambria" w:cs="Cambria"/>
          <w:color w:val="000000"/>
        </w:rPr>
      </w:pPr>
    </w:p>
    <w:p w14:paraId="000000C7"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If the Overall Rating is not satisfactory (i.e., a 1 or 2 rating on this 4-point scale), the faculty advisor (typically in collaboration with the DCT) will specify, in writing, clear guidelines for the student to regain good standing in the program (e.g., completing a lab assignments or the Second-Year Project by an established deadline, taking an additional course in a particular area, and/or registering for a truncated course of study for one or more semesters), or, in certain cases, offer assistance to the student in finding a field of study for which he or she is more suited. Written feedback, provided by the advisor and/or the DCT, will be provided to the student regarding the extent to which these corrective actions have satisfied the established conditions and guidelines. A student’s failure to satisfy the conditions required for a return to good standing may lead to probationary status or dismissal from the program. Students who remain on academic probation for an extended period of time who have not responded to the specified plan for improvement may be dismissed from the Program. Unethical behavior, including academic dishonesty, is considered grounds for immediate dismissal from graduate training.</w:t>
      </w:r>
    </w:p>
    <w:p w14:paraId="000000C8" w14:textId="77777777" w:rsidR="00CD3527" w:rsidRDefault="007F4AED">
      <w:pPr>
        <w:pStyle w:val="Heading1"/>
      </w:pPr>
      <w:bookmarkStart w:id="21" w:name="_heading=h.z337ya" w:colFirst="0" w:colLast="0"/>
      <w:bookmarkEnd w:id="21"/>
      <w:r>
        <w:br w:type="page"/>
      </w:r>
      <w:r>
        <w:lastRenderedPageBreak/>
        <w:t>Sources of Regulation</w:t>
      </w:r>
    </w:p>
    <w:p w14:paraId="000000C9" w14:textId="77777777" w:rsidR="00CD3527" w:rsidRDefault="00CD3527">
      <w:pPr>
        <w:pBdr>
          <w:top w:val="nil"/>
          <w:left w:val="nil"/>
          <w:bottom w:val="nil"/>
          <w:right w:val="nil"/>
          <w:between w:val="nil"/>
        </w:pBdr>
        <w:rPr>
          <w:rFonts w:ascii="Cambria" w:eastAsia="Cambria" w:hAnsi="Cambria" w:cs="Cambria"/>
          <w:color w:val="000000"/>
        </w:rPr>
      </w:pPr>
    </w:p>
    <w:p w14:paraId="000000CA"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Regulations and requirements that affect clinical students at TC have several sources (in addition to New York State and the American Psychological Association, the former our licensing agency and the latter our accreditation agency):</w:t>
      </w:r>
      <w:r>
        <w:rPr>
          <w:rFonts w:ascii="Cambria" w:eastAsia="Cambria" w:hAnsi="Cambria" w:cs="Cambria"/>
          <w:color w:val="000000"/>
        </w:rPr>
        <w:br/>
      </w:r>
      <w:r>
        <w:rPr>
          <w:rFonts w:ascii="Cambria" w:eastAsia="Cambria" w:hAnsi="Cambria" w:cs="Cambria"/>
          <w:color w:val="000000"/>
        </w:rPr>
        <w:br/>
        <w:t xml:space="preserve">1. </w:t>
      </w:r>
      <w:r>
        <w:rPr>
          <w:rFonts w:ascii="Cambria" w:eastAsia="Cambria" w:hAnsi="Cambria" w:cs="Cambria"/>
          <w:color w:val="000000"/>
          <w:u w:val="single"/>
        </w:rPr>
        <w:t>Columbia University</w:t>
      </w:r>
      <w:r>
        <w:rPr>
          <w:rFonts w:ascii="Cambria" w:eastAsia="Cambria" w:hAnsi="Cambria" w:cs="Cambria"/>
          <w:color w:val="000000"/>
        </w:rPr>
        <w:t>. Since the Ph.D. is granted by Columbia University, the Dean of the Graduate School of Arts and Sciences exercises control over the personnel of the oral defense: your dissertation sponsor must be on a University-approved list, and at least one professor from Columbia University (outside Teachers College) must be appointed to your defense committee.</w:t>
      </w:r>
    </w:p>
    <w:p w14:paraId="000000CB" w14:textId="77777777" w:rsidR="00CD3527" w:rsidRDefault="00CD3527">
      <w:pPr>
        <w:pBdr>
          <w:top w:val="nil"/>
          <w:left w:val="nil"/>
          <w:bottom w:val="nil"/>
          <w:right w:val="nil"/>
          <w:between w:val="nil"/>
        </w:pBdr>
        <w:rPr>
          <w:rFonts w:ascii="Cambria" w:eastAsia="Cambria" w:hAnsi="Cambria" w:cs="Cambria"/>
          <w:color w:val="000000"/>
        </w:rPr>
      </w:pPr>
    </w:p>
    <w:p w14:paraId="000000CC"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2. </w:t>
      </w:r>
      <w:r>
        <w:rPr>
          <w:rFonts w:ascii="Cambria" w:eastAsia="Cambria" w:hAnsi="Cambria" w:cs="Cambria"/>
          <w:color w:val="000000"/>
          <w:u w:val="single"/>
        </w:rPr>
        <w:t>Teachers College</w:t>
      </w:r>
      <w:r>
        <w:rPr>
          <w:rFonts w:ascii="Cambria" w:eastAsia="Cambria" w:hAnsi="Cambria" w:cs="Cambria"/>
          <w:color w:val="000000"/>
        </w:rPr>
        <w:t>. The College exercises control over the general academic requirements for degrees. These requirements are presented in the annual Teachers College Catalog. You should check the Catalog (</w:t>
      </w:r>
      <w:hyperlink r:id="rId13">
        <w:r>
          <w:rPr>
            <w:rFonts w:ascii="Cambria" w:eastAsia="Cambria" w:hAnsi="Cambria" w:cs="Cambria"/>
            <w:color w:val="0000FF"/>
            <w:u w:val="single"/>
          </w:rPr>
          <w:t>http://catalog.tc.columbia.edu/tc/</w:t>
        </w:r>
      </w:hyperlink>
      <w:r>
        <w:rPr>
          <w:rFonts w:ascii="Cambria" w:eastAsia="Cambria" w:hAnsi="Cambria" w:cs="Cambria"/>
          <w:color w:val="000000"/>
        </w:rPr>
        <w:t xml:space="preserve">) for information regarding degree requirements, period of candidacy, college fees, and student life and services (including health insurance). </w:t>
      </w:r>
    </w:p>
    <w:p w14:paraId="000000CD" w14:textId="77777777" w:rsidR="00CD3527" w:rsidRDefault="00CD3527">
      <w:pPr>
        <w:pBdr>
          <w:top w:val="nil"/>
          <w:left w:val="nil"/>
          <w:bottom w:val="nil"/>
          <w:right w:val="nil"/>
          <w:between w:val="nil"/>
        </w:pBdr>
        <w:rPr>
          <w:rFonts w:ascii="Cambria" w:eastAsia="Cambria" w:hAnsi="Cambria" w:cs="Cambria"/>
          <w:color w:val="000000"/>
        </w:rPr>
      </w:pPr>
    </w:p>
    <w:p w14:paraId="000000CE"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The Office of Doctoral Studies (Office Administrator: Russell Gulizia) publishes two pamphlets, one on College requirements for Ph.D. candidates, and the other a summary of regulations concerning the dissertation. You are responsible for knowing the contents of these and for meeting the requirements and deadlines. (For example, clinical students must file a Program Plan in the first semester of the third year).</w:t>
      </w:r>
      <w:r>
        <w:rPr>
          <w:rFonts w:ascii="Cambria" w:eastAsia="Cambria" w:hAnsi="Cambria" w:cs="Cambria"/>
          <w:color w:val="000000"/>
        </w:rPr>
        <w:br/>
      </w:r>
      <w:r>
        <w:rPr>
          <w:rFonts w:ascii="Cambria" w:eastAsia="Cambria" w:hAnsi="Cambria" w:cs="Cambria"/>
          <w:color w:val="000000"/>
        </w:rPr>
        <w:br/>
        <w:t xml:space="preserve">3. </w:t>
      </w:r>
      <w:r>
        <w:rPr>
          <w:rFonts w:ascii="Cambria" w:eastAsia="Cambria" w:hAnsi="Cambria" w:cs="Cambria"/>
          <w:color w:val="000000"/>
          <w:u w:val="single"/>
        </w:rPr>
        <w:t>The Department of Counseling and Clinical Psychology</w:t>
      </w:r>
      <w:r>
        <w:rPr>
          <w:rFonts w:ascii="Cambria" w:eastAsia="Cambria" w:hAnsi="Cambria" w:cs="Cambria"/>
          <w:color w:val="000000"/>
        </w:rPr>
        <w:t>. This is our administrative unit, one of ten departments in the College. This department houses Master’s and doctoral programs in both clinical and counseling psychology. The administrative staff includes a Director of Academic Administration who serves as the overall administrative coordinator (Enrika Davis); a Department Administrative Assistant (Chrissandra Taylor); and Program Administrative Assistants for counseling (Jacob Holober) and clinical psychology (Rebecca Shulevitz).</w:t>
      </w:r>
      <w:r>
        <w:rPr>
          <w:rFonts w:ascii="Cambria" w:eastAsia="Cambria" w:hAnsi="Cambria" w:cs="Cambria"/>
          <w:color w:val="000000"/>
        </w:rPr>
        <w:br/>
        <w:t xml:space="preserve"> </w:t>
      </w:r>
      <w:r>
        <w:rPr>
          <w:rFonts w:ascii="Cambria" w:eastAsia="Cambria" w:hAnsi="Cambria" w:cs="Cambria"/>
          <w:color w:val="000000"/>
        </w:rPr>
        <w:br/>
        <w:t xml:space="preserve">4. </w:t>
      </w:r>
      <w:r>
        <w:rPr>
          <w:rFonts w:ascii="Cambria" w:eastAsia="Cambria" w:hAnsi="Cambria" w:cs="Cambria"/>
          <w:color w:val="000000"/>
          <w:u w:val="single"/>
        </w:rPr>
        <w:t>Dean Hope Center for Educational and Psychological Services (Dean Hope Center; also sometimes referred to as CEPS)</w:t>
      </w:r>
      <w:r>
        <w:rPr>
          <w:rFonts w:ascii="Cambria" w:eastAsia="Cambria" w:hAnsi="Cambria" w:cs="Cambria"/>
          <w:color w:val="000000"/>
        </w:rPr>
        <w:t xml:space="preserve">. This is our training clinic and the practicum site for students in several programs at Teachers College. Dr. Dinelia Rosa is the Director of the Center. The Center publishes a manual that governs the functioning of the clinic. It is also the administrative unit in charge of Case Conference.  </w:t>
      </w:r>
      <w:r>
        <w:rPr>
          <w:rFonts w:ascii="Cambria" w:eastAsia="Cambria" w:hAnsi="Cambria" w:cs="Cambria"/>
          <w:color w:val="000000"/>
        </w:rPr>
        <w:br/>
      </w:r>
      <w:r>
        <w:rPr>
          <w:rFonts w:ascii="Cambria" w:eastAsia="Cambria" w:hAnsi="Cambria" w:cs="Cambria"/>
          <w:color w:val="000000"/>
        </w:rPr>
        <w:br/>
        <w:t xml:space="preserve">5. </w:t>
      </w:r>
      <w:r>
        <w:rPr>
          <w:rFonts w:ascii="Cambria" w:eastAsia="Cambria" w:hAnsi="Cambria" w:cs="Cambria"/>
          <w:color w:val="000000"/>
          <w:u w:val="single"/>
        </w:rPr>
        <w:t>The Program in Clinical Psychology</w:t>
      </w:r>
      <w:r>
        <w:rPr>
          <w:rFonts w:ascii="Cambria" w:eastAsia="Cambria" w:hAnsi="Cambria" w:cs="Cambria"/>
          <w:color w:val="000000"/>
        </w:rPr>
        <w:t xml:space="preserve">. The program faculty are responsible for designing, implementing, and overseeing your education (including evaluating your progress). The program faculty meet on a regular basis to discuss programmatic and student issues. </w:t>
      </w:r>
    </w:p>
    <w:p w14:paraId="000000CF" w14:textId="77777777" w:rsidR="00CD3527" w:rsidRDefault="007F4AED">
      <w:pPr>
        <w:pBdr>
          <w:top w:val="nil"/>
          <w:left w:val="nil"/>
          <w:bottom w:val="nil"/>
          <w:right w:val="nil"/>
          <w:between w:val="nil"/>
        </w:pBdr>
        <w:rPr>
          <w:rFonts w:ascii="Cambria" w:eastAsia="Cambria" w:hAnsi="Cambria" w:cs="Cambria"/>
          <w:color w:val="000000"/>
        </w:rPr>
      </w:pPr>
      <w:bookmarkStart w:id="22" w:name="_heading=h.3j2qqm3" w:colFirst="0" w:colLast="0"/>
      <w:bookmarkEnd w:id="22"/>
      <w:r>
        <w:rPr>
          <w:rFonts w:ascii="Cambria" w:eastAsia="Cambria" w:hAnsi="Cambria" w:cs="Cambria"/>
          <w:color w:val="000000"/>
        </w:rPr>
        <w:br/>
        <w:t xml:space="preserve">Obviously, the program has the greatest amount of control within its own specialty, and decreasing control as the regulating authority is larger and more general. Although </w:t>
      </w:r>
      <w:r>
        <w:rPr>
          <w:rFonts w:ascii="Cambria" w:eastAsia="Cambria" w:hAnsi="Cambria" w:cs="Cambria"/>
          <w:color w:val="000000"/>
        </w:rPr>
        <w:lastRenderedPageBreak/>
        <w:t xml:space="preserve">this Handbook is designed to be explicit and authoritative in regard to requirements, the fact that there are many sources of input—including, of course, APA––inevitably means that there will, at times, be some misunderstanding or confusion. Similarly, while we strive to involve students in some of the decision-making (e.g., curriculum changes; admissions; search committees) and also try to keep students informed of proposed changes, there will almost certainly be instances when the availability or timing of courses, or even programmatic requirements, change with little advance warning. </w:t>
      </w:r>
    </w:p>
    <w:p w14:paraId="000000D0" w14:textId="77777777" w:rsidR="00CD3527" w:rsidRDefault="007F4AED">
      <w:pPr>
        <w:pStyle w:val="Heading1"/>
        <w:rPr>
          <w:highlight w:val="yellow"/>
        </w:rPr>
      </w:pPr>
      <w:r>
        <w:br w:type="page"/>
      </w:r>
    </w:p>
    <w:p w14:paraId="000000D1" w14:textId="77777777" w:rsidR="00CD3527" w:rsidRDefault="007F4AED">
      <w:pPr>
        <w:pStyle w:val="Heading1"/>
      </w:pPr>
      <w:bookmarkStart w:id="23" w:name="_heading=h.1y810tw" w:colFirst="0" w:colLast="0"/>
      <w:bookmarkEnd w:id="23"/>
      <w:r>
        <w:lastRenderedPageBreak/>
        <w:t>Facilities and Resources of the Clinical Psychology Program</w:t>
      </w:r>
    </w:p>
    <w:p w14:paraId="000000D2" w14:textId="77777777" w:rsidR="00CD3527" w:rsidRDefault="00CD3527">
      <w:pPr>
        <w:pBdr>
          <w:top w:val="nil"/>
          <w:left w:val="nil"/>
          <w:bottom w:val="nil"/>
          <w:right w:val="nil"/>
          <w:between w:val="nil"/>
        </w:pBdr>
        <w:rPr>
          <w:rFonts w:ascii="Cambria" w:eastAsia="Cambria" w:hAnsi="Cambria" w:cs="Cambria"/>
          <w:color w:val="000000"/>
        </w:rPr>
      </w:pPr>
    </w:p>
    <w:p w14:paraId="000000D3" w14:textId="3F3F0F1E"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b/>
          <w:i/>
          <w:color w:val="000000"/>
        </w:rPr>
        <w:t>Dean-Hope Center for Educational and Psychological Services (DHCEPS)</w:t>
      </w:r>
      <w:r w:rsidR="000475C6">
        <w:rPr>
          <w:rFonts w:ascii="Cambria" w:eastAsia="Cambria" w:hAnsi="Cambria" w:cs="Cambria"/>
          <w:b/>
          <w:i/>
          <w:color w:val="000000"/>
        </w:rPr>
        <w:t xml:space="preserve"> </w:t>
      </w:r>
      <w:r>
        <w:rPr>
          <w:rFonts w:ascii="Cambria" w:eastAsia="Cambria" w:hAnsi="Cambria" w:cs="Cambria"/>
          <w:color w:val="000000"/>
        </w:rPr>
        <w:t>is our training clinic and the training clinic for students in several programs at Teachers College. In addition to multiple office (treatment) spaces, it has two spacious student lounge/workrooms where students may practice tests, write reports, call clients, and relax.</w:t>
      </w:r>
    </w:p>
    <w:p w14:paraId="000000D4" w14:textId="77777777" w:rsidR="00CD3527" w:rsidRDefault="00CD3527">
      <w:pPr>
        <w:pBdr>
          <w:top w:val="nil"/>
          <w:left w:val="nil"/>
          <w:bottom w:val="nil"/>
          <w:right w:val="nil"/>
          <w:between w:val="nil"/>
        </w:pBdr>
        <w:rPr>
          <w:rFonts w:ascii="Cambria" w:eastAsia="Cambria" w:hAnsi="Cambria" w:cs="Cambria"/>
          <w:color w:val="000000"/>
        </w:rPr>
      </w:pPr>
    </w:p>
    <w:p w14:paraId="000000D5"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An extensive test collection is housed in the Test Library at the DHCEPS. Here, students have access to a wide variety of testing materials. Most can be signed out for overnight review or use with clients. </w:t>
      </w:r>
    </w:p>
    <w:p w14:paraId="000000D6" w14:textId="77777777" w:rsidR="00CD3527" w:rsidRDefault="00CD3527">
      <w:pPr>
        <w:pBdr>
          <w:top w:val="nil"/>
          <w:left w:val="nil"/>
          <w:bottom w:val="nil"/>
          <w:right w:val="nil"/>
          <w:between w:val="nil"/>
        </w:pBdr>
        <w:rPr>
          <w:rFonts w:ascii="Cambria" w:eastAsia="Cambria" w:hAnsi="Cambria" w:cs="Cambria"/>
          <w:b/>
          <w:i/>
          <w:color w:val="000000"/>
        </w:rPr>
      </w:pPr>
    </w:p>
    <w:p w14:paraId="000000D7"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b/>
          <w:i/>
          <w:color w:val="000000"/>
        </w:rPr>
        <w:t xml:space="preserve">Lounge for clinical psychology doctoral students </w:t>
      </w:r>
      <w:r>
        <w:rPr>
          <w:rFonts w:ascii="Cambria" w:eastAsia="Cambria" w:hAnsi="Cambria" w:cs="Cambria"/>
          <w:color w:val="000000"/>
        </w:rPr>
        <w:t xml:space="preserve">in 328 Horace Mann is a space for students to have working group meetings, informal gatherings and relax. After 1pm on all weekdays (unless reserved on the lounge calendar by other groups or labs in advance), this lounge is available for use by our students. </w:t>
      </w:r>
    </w:p>
    <w:p w14:paraId="000000D8" w14:textId="77777777" w:rsidR="00CD3527" w:rsidRDefault="00CD3527">
      <w:pPr>
        <w:pBdr>
          <w:top w:val="nil"/>
          <w:left w:val="nil"/>
          <w:bottom w:val="nil"/>
          <w:right w:val="nil"/>
          <w:between w:val="nil"/>
        </w:pBdr>
        <w:rPr>
          <w:rFonts w:ascii="Cambria" w:eastAsia="Cambria" w:hAnsi="Cambria" w:cs="Cambria"/>
          <w:b/>
          <w:i/>
          <w:color w:val="000000"/>
        </w:rPr>
      </w:pPr>
    </w:p>
    <w:p w14:paraId="000000D9" w14:textId="77777777" w:rsidR="00CD3527" w:rsidRDefault="007F4AED">
      <w:pPr>
        <w:pBdr>
          <w:top w:val="nil"/>
          <w:left w:val="nil"/>
          <w:bottom w:val="nil"/>
          <w:right w:val="nil"/>
          <w:between w:val="nil"/>
        </w:pBdr>
        <w:spacing w:before="100" w:after="100"/>
        <w:rPr>
          <w:rFonts w:ascii="Cambria" w:eastAsia="Cambria" w:hAnsi="Cambria" w:cs="Cambria"/>
          <w:color w:val="000000"/>
        </w:rPr>
      </w:pPr>
      <w:r>
        <w:rPr>
          <w:rFonts w:ascii="Cambria" w:eastAsia="Cambria" w:hAnsi="Cambria" w:cs="Cambria"/>
          <w:b/>
          <w:i/>
          <w:color w:val="000000"/>
        </w:rPr>
        <w:t>The Gottesman Libraries</w:t>
      </w:r>
      <w:r>
        <w:rPr>
          <w:rFonts w:ascii="Cambria" w:eastAsia="Cambria" w:hAnsi="Cambria" w:cs="Cambria"/>
          <w:color w:val="000000"/>
        </w:rPr>
        <w:t xml:space="preserve"> (formerly known as the Teachers College library) is one of the nation's largest and most comprehensive research libraries in education. The scope of the collections reflects the historic commitment to advanced study in education, psychology (particularly applied psychology), and the health professions in their local, national, and international dimensions. Overall, the collections include about 500,000 printed volumes together with substantial non-print collections. Moreover, all Columbia libraries and services are available to students. Of particular interest, the Columbia library’s collection of psychotherapy videotapes: </w:t>
      </w:r>
      <w:hyperlink r:id="rId14">
        <w:r>
          <w:rPr>
            <w:rFonts w:ascii="Cambria" w:eastAsia="Cambria" w:hAnsi="Cambria" w:cs="Cambria"/>
            <w:color w:val="0000FF"/>
            <w:u w:val="single"/>
          </w:rPr>
          <w:t>http://clio.columbia.edu/catalog?&amp;datasource=catalog&amp;q=psychotherapy+video&amp;search=true&amp;search_field=all_fields</w:t>
        </w:r>
      </w:hyperlink>
      <w:r>
        <w:rPr>
          <w:rFonts w:ascii="Cambria" w:eastAsia="Cambria" w:hAnsi="Cambria" w:cs="Cambria"/>
          <w:color w:val="000000"/>
          <w:sz w:val="20"/>
          <w:szCs w:val="20"/>
        </w:rPr>
        <w:t>.</w:t>
      </w:r>
    </w:p>
    <w:p w14:paraId="000000DA" w14:textId="77777777" w:rsidR="00CD3527" w:rsidRDefault="007F4AED">
      <w:pPr>
        <w:pBdr>
          <w:top w:val="nil"/>
          <w:left w:val="nil"/>
          <w:bottom w:val="nil"/>
          <w:right w:val="nil"/>
          <w:between w:val="nil"/>
        </w:pBdr>
        <w:spacing w:before="280" w:after="40"/>
        <w:rPr>
          <w:rFonts w:ascii="Cambria" w:eastAsia="Cambria" w:hAnsi="Cambria" w:cs="Cambria"/>
          <w:color w:val="000000"/>
        </w:rPr>
      </w:pPr>
      <w:r>
        <w:rPr>
          <w:rFonts w:ascii="Cambria" w:eastAsia="Cambria" w:hAnsi="Cambria" w:cs="Cambria"/>
          <w:b/>
          <w:i/>
          <w:color w:val="000000"/>
        </w:rPr>
        <w:t xml:space="preserve">The Office of Graduate Student Life and Development </w:t>
      </w:r>
      <w:r>
        <w:rPr>
          <w:rFonts w:ascii="Cambria" w:eastAsia="Cambria" w:hAnsi="Cambria" w:cs="Cambria"/>
          <w:color w:val="000000"/>
        </w:rPr>
        <w:t>(</w:t>
      </w:r>
      <w:r>
        <w:rPr>
          <w:rFonts w:ascii="Cambria" w:eastAsia="Cambria" w:hAnsi="Cambria" w:cs="Cambria"/>
          <w:i/>
          <w:color w:val="000000"/>
        </w:rPr>
        <w:t>155 Bldg 528</w:t>
      </w:r>
      <w:r>
        <w:rPr>
          <w:rFonts w:ascii="Cambria" w:eastAsia="Cambria" w:hAnsi="Cambria" w:cs="Cambria"/>
          <w:color w:val="000000"/>
        </w:rPr>
        <w:t xml:space="preserve">) strives to provide opportunities beyond the curriculum for students to become active members of the TC community, to engage in social humanitarian efforts, to cooperate sensitively, and ultimately to intellectually embrace the human condition and the responsibilities and opportunities it affords. The Office consists of 3 main areas: Insurance and Immunization Records, Student Development and Activities, and the Graduate Writing Center.  </w:t>
      </w:r>
    </w:p>
    <w:p w14:paraId="000000DB" w14:textId="77777777" w:rsidR="00CD3527" w:rsidRDefault="007F4AED">
      <w:pPr>
        <w:pBdr>
          <w:top w:val="nil"/>
          <w:left w:val="nil"/>
          <w:bottom w:val="nil"/>
          <w:right w:val="nil"/>
          <w:between w:val="nil"/>
        </w:pBdr>
        <w:spacing w:before="240"/>
        <w:rPr>
          <w:rFonts w:ascii="Cambria" w:eastAsia="Cambria" w:hAnsi="Cambria" w:cs="Cambria"/>
          <w:color w:val="000000"/>
        </w:rPr>
      </w:pPr>
      <w:r>
        <w:rPr>
          <w:rFonts w:ascii="Cambria" w:eastAsia="Cambria" w:hAnsi="Cambria" w:cs="Cambria"/>
          <w:b/>
          <w:i/>
          <w:color w:val="000000"/>
        </w:rPr>
        <w:t>Academic Computing &amp; Information Services</w:t>
      </w:r>
      <w:r>
        <w:rPr>
          <w:rFonts w:ascii="Cambria" w:eastAsia="Cambria" w:hAnsi="Cambria" w:cs="Cambria"/>
          <w:i/>
          <w:color w:val="000000"/>
        </w:rPr>
        <w:t xml:space="preserve"> (70 Dodge Hall)</w:t>
      </w:r>
      <w:r>
        <w:rPr>
          <w:rFonts w:ascii="Cambria" w:eastAsia="Cambria" w:hAnsi="Cambria" w:cs="Cambria"/>
          <w:color w:val="000000"/>
        </w:rPr>
        <w:t xml:space="preserve"> offers a wide variety of computer support services.</w:t>
      </w:r>
    </w:p>
    <w:p w14:paraId="000000DC" w14:textId="77777777" w:rsidR="00CD3527" w:rsidRDefault="007F4AED">
      <w:pPr>
        <w:pBdr>
          <w:top w:val="nil"/>
          <w:left w:val="nil"/>
          <w:bottom w:val="nil"/>
          <w:right w:val="nil"/>
          <w:between w:val="nil"/>
        </w:pBdr>
        <w:spacing w:before="240"/>
        <w:rPr>
          <w:rFonts w:ascii="Cambria" w:eastAsia="Cambria" w:hAnsi="Cambria" w:cs="Cambria"/>
          <w:color w:val="000000"/>
        </w:rPr>
      </w:pPr>
      <w:r>
        <w:rPr>
          <w:rFonts w:ascii="Cambria" w:eastAsia="Cambria" w:hAnsi="Cambria" w:cs="Cambria"/>
          <w:b/>
          <w:i/>
          <w:color w:val="000000"/>
        </w:rPr>
        <w:t>TC Next (</w:t>
      </w:r>
      <w:r>
        <w:rPr>
          <w:rFonts w:ascii="Cambria" w:eastAsia="Cambria" w:hAnsi="Cambria" w:cs="Cambria"/>
          <w:color w:val="000000"/>
        </w:rPr>
        <w:t xml:space="preserve">formerly </w:t>
      </w:r>
      <w:r>
        <w:rPr>
          <w:rFonts w:ascii="Cambria" w:eastAsia="Cambria" w:hAnsi="Cambria" w:cs="Cambria"/>
          <w:b/>
          <w:i/>
          <w:color w:val="000000"/>
        </w:rPr>
        <w:t>Career Services Center)</w:t>
      </w:r>
      <w:r>
        <w:rPr>
          <w:rFonts w:ascii="Cambria" w:eastAsia="Cambria" w:hAnsi="Cambria" w:cs="Cambria"/>
          <w:i/>
          <w:color w:val="000000"/>
        </w:rPr>
        <w:t xml:space="preserve"> (162 Bldg 528)</w:t>
      </w:r>
      <w:r>
        <w:rPr>
          <w:rFonts w:ascii="Cambria" w:eastAsia="Cambria" w:hAnsi="Cambria" w:cs="Cambria"/>
          <w:color w:val="000000"/>
        </w:rPr>
        <w:t xml:space="preserve"> provides students and alumni with career planning resources requisite to the development and refinement of job search skills.</w:t>
      </w:r>
    </w:p>
    <w:p w14:paraId="000000DD" w14:textId="77777777" w:rsidR="00CD3527" w:rsidRDefault="007F4AED">
      <w:pPr>
        <w:pBdr>
          <w:top w:val="nil"/>
          <w:left w:val="nil"/>
          <w:bottom w:val="nil"/>
          <w:right w:val="nil"/>
          <w:between w:val="nil"/>
        </w:pBdr>
        <w:spacing w:before="240"/>
        <w:rPr>
          <w:rFonts w:ascii="Cambria" w:eastAsia="Cambria" w:hAnsi="Cambria" w:cs="Cambria"/>
          <w:color w:val="000000"/>
        </w:rPr>
      </w:pPr>
      <w:r>
        <w:rPr>
          <w:rFonts w:ascii="Cambria" w:eastAsia="Cambria" w:hAnsi="Cambria" w:cs="Cambria"/>
          <w:b/>
          <w:i/>
          <w:color w:val="000000"/>
        </w:rPr>
        <w:t>Rita Gold Early Childhood Center (</w:t>
      </w:r>
      <w:r>
        <w:rPr>
          <w:rFonts w:ascii="Cambria" w:eastAsia="Cambria" w:hAnsi="Cambria" w:cs="Cambria"/>
          <w:i/>
          <w:color w:val="000000"/>
        </w:rPr>
        <w:t>second floor, Bldg 528</w:t>
      </w:r>
      <w:r>
        <w:rPr>
          <w:rFonts w:ascii="Cambria" w:eastAsia="Cambria" w:hAnsi="Cambria" w:cs="Cambria"/>
          <w:b/>
          <w:i/>
          <w:color w:val="000000"/>
        </w:rPr>
        <w:t>)</w:t>
      </w:r>
      <w:r>
        <w:rPr>
          <w:rFonts w:ascii="Cambria" w:eastAsia="Cambria" w:hAnsi="Cambria" w:cs="Cambria"/>
          <w:color w:val="000000"/>
        </w:rPr>
        <w:t xml:space="preserve"> provides childcare for infants of parents who are students, faculty, and full-time staff at the University.</w:t>
      </w:r>
    </w:p>
    <w:p w14:paraId="000000DE" w14:textId="77777777" w:rsidR="00CD3527" w:rsidRDefault="007F4AED">
      <w:pPr>
        <w:pBdr>
          <w:top w:val="nil"/>
          <w:left w:val="nil"/>
          <w:bottom w:val="nil"/>
          <w:right w:val="nil"/>
          <w:between w:val="nil"/>
        </w:pBdr>
        <w:spacing w:before="240"/>
        <w:rPr>
          <w:rFonts w:ascii="Cambria" w:eastAsia="Cambria" w:hAnsi="Cambria" w:cs="Cambria"/>
          <w:color w:val="000000"/>
        </w:rPr>
      </w:pPr>
      <w:r>
        <w:rPr>
          <w:rFonts w:ascii="Cambria" w:eastAsia="Cambria" w:hAnsi="Cambria" w:cs="Cambria"/>
          <w:b/>
          <w:i/>
          <w:color w:val="000000"/>
        </w:rPr>
        <w:lastRenderedPageBreak/>
        <w:t>The Office of Access and Services for Individuals with Disabilities</w:t>
      </w:r>
      <w:r>
        <w:rPr>
          <w:rFonts w:ascii="Cambria" w:eastAsia="Cambria" w:hAnsi="Cambria" w:cs="Cambria"/>
          <w:i/>
          <w:color w:val="000000"/>
        </w:rPr>
        <w:t xml:space="preserve"> (301 Zankel Hall).</w:t>
      </w:r>
      <w:r>
        <w:rPr>
          <w:rFonts w:ascii="Cambria" w:eastAsia="Cambria" w:hAnsi="Cambria" w:cs="Cambria"/>
          <w:color w:val="000000"/>
        </w:rPr>
        <w:t xml:space="preserve"> Provides resources and arranges for accommodations for students with disabilities.</w:t>
      </w:r>
    </w:p>
    <w:p w14:paraId="000000DF" w14:textId="77777777" w:rsidR="00CD3527" w:rsidRDefault="007F4AED">
      <w:pPr>
        <w:pBdr>
          <w:top w:val="nil"/>
          <w:left w:val="nil"/>
          <w:bottom w:val="nil"/>
          <w:right w:val="nil"/>
          <w:between w:val="nil"/>
        </w:pBdr>
        <w:spacing w:before="240"/>
        <w:rPr>
          <w:rFonts w:ascii="Cambria" w:eastAsia="Cambria" w:hAnsi="Cambria" w:cs="Cambria"/>
          <w:color w:val="000000"/>
        </w:rPr>
      </w:pPr>
      <w:r>
        <w:rPr>
          <w:rFonts w:ascii="Cambria" w:eastAsia="Cambria" w:hAnsi="Cambria" w:cs="Cambria"/>
          <w:b/>
          <w:i/>
          <w:color w:val="000000"/>
        </w:rPr>
        <w:t xml:space="preserve">Office of International Student Services </w:t>
      </w:r>
      <w:r>
        <w:rPr>
          <w:rFonts w:ascii="Cambria" w:eastAsia="Cambria" w:hAnsi="Cambria" w:cs="Cambria"/>
          <w:i/>
          <w:color w:val="000000"/>
        </w:rPr>
        <w:t>(L5 Whittier Hall)</w:t>
      </w:r>
      <w:r>
        <w:rPr>
          <w:rFonts w:ascii="Cambria" w:eastAsia="Cambria" w:hAnsi="Cambria" w:cs="Cambria"/>
          <w:color w:val="000000"/>
        </w:rPr>
        <w:t>. Offers a variety of services for students from other countries: student orientation, advising and counseling, immigration and tax information, and a variety of programs for students interested in multicultural issues. Currently there are nearly 1,000 students from more than 65 countries enrolled at the College.</w:t>
      </w:r>
    </w:p>
    <w:p w14:paraId="000000E0" w14:textId="77777777" w:rsidR="00CD3527" w:rsidRDefault="007F4AED">
      <w:pPr>
        <w:pBdr>
          <w:top w:val="nil"/>
          <w:left w:val="nil"/>
          <w:bottom w:val="nil"/>
          <w:right w:val="nil"/>
          <w:between w:val="nil"/>
        </w:pBdr>
        <w:spacing w:before="240"/>
        <w:rPr>
          <w:rFonts w:ascii="Cambria" w:eastAsia="Cambria" w:hAnsi="Cambria" w:cs="Cambria"/>
          <w:color w:val="000000"/>
        </w:rPr>
      </w:pPr>
      <w:r>
        <w:rPr>
          <w:rFonts w:ascii="Cambria" w:eastAsia="Cambria" w:hAnsi="Cambria" w:cs="Cambria"/>
          <w:b/>
          <w:i/>
          <w:color w:val="000000"/>
        </w:rPr>
        <w:t>The general TC Student Lounge</w:t>
      </w:r>
      <w:r>
        <w:rPr>
          <w:rFonts w:ascii="Cambria" w:eastAsia="Cambria" w:hAnsi="Cambria" w:cs="Cambria"/>
          <w:color w:val="000000"/>
        </w:rPr>
        <w:t xml:space="preserve"> is on the 1st floor of Zankel Hall. </w:t>
      </w:r>
    </w:p>
    <w:p w14:paraId="000000E1" w14:textId="77777777" w:rsidR="00CD3527" w:rsidRDefault="007F4AED">
      <w:pPr>
        <w:pBdr>
          <w:top w:val="nil"/>
          <w:left w:val="nil"/>
          <w:bottom w:val="nil"/>
          <w:right w:val="nil"/>
          <w:between w:val="nil"/>
        </w:pBdr>
        <w:spacing w:before="240"/>
        <w:rPr>
          <w:rFonts w:ascii="Cambria" w:eastAsia="Cambria" w:hAnsi="Cambria" w:cs="Cambria"/>
          <w:color w:val="000000"/>
        </w:rPr>
      </w:pPr>
      <w:bookmarkStart w:id="24" w:name="_heading=h.4i7ojhp" w:colFirst="0" w:colLast="0"/>
      <w:bookmarkEnd w:id="24"/>
      <w:r>
        <w:rPr>
          <w:rFonts w:ascii="Cambria" w:eastAsia="Cambria" w:hAnsi="Cambria" w:cs="Cambria"/>
          <w:b/>
          <w:i/>
          <w:color w:val="000000"/>
        </w:rPr>
        <w:t>Residence Halls Office</w:t>
      </w:r>
      <w:r>
        <w:rPr>
          <w:rFonts w:ascii="Cambria" w:eastAsia="Cambria" w:hAnsi="Cambria" w:cs="Cambria"/>
          <w:color w:val="000000"/>
        </w:rPr>
        <w:t>. Offers housing for full-time married and single graduate students throughout the year. The residence halls are located near the classrooms, library, and cafeteria and are convenient to subway and bus transportation. It is essential to apply for housing as soon as possible.</w:t>
      </w:r>
    </w:p>
    <w:p w14:paraId="000000E2" w14:textId="77777777" w:rsidR="00CD3527" w:rsidRDefault="00CD3527">
      <w:pPr>
        <w:pStyle w:val="Heading1"/>
      </w:pPr>
    </w:p>
    <w:p w14:paraId="000000E3" w14:textId="77777777" w:rsidR="00CD3527" w:rsidRDefault="00CD3527">
      <w:pPr>
        <w:pBdr>
          <w:top w:val="nil"/>
          <w:left w:val="nil"/>
          <w:bottom w:val="nil"/>
          <w:right w:val="nil"/>
          <w:between w:val="nil"/>
        </w:pBdr>
        <w:rPr>
          <w:rFonts w:ascii="Cambria" w:eastAsia="Cambria" w:hAnsi="Cambria" w:cs="Cambria"/>
          <w:color w:val="000000"/>
        </w:rPr>
      </w:pPr>
    </w:p>
    <w:p w14:paraId="000000E4" w14:textId="77777777" w:rsidR="00CD3527" w:rsidRDefault="00CD3527">
      <w:pPr>
        <w:pBdr>
          <w:top w:val="nil"/>
          <w:left w:val="nil"/>
          <w:bottom w:val="nil"/>
          <w:right w:val="nil"/>
          <w:between w:val="nil"/>
        </w:pBdr>
        <w:rPr>
          <w:rFonts w:ascii="Cambria" w:eastAsia="Cambria" w:hAnsi="Cambria" w:cs="Cambria"/>
          <w:color w:val="000000"/>
        </w:rPr>
      </w:pPr>
    </w:p>
    <w:p w14:paraId="000000E5" w14:textId="77777777" w:rsidR="00CD3527" w:rsidRDefault="00CD3527">
      <w:pPr>
        <w:pBdr>
          <w:top w:val="nil"/>
          <w:left w:val="nil"/>
          <w:bottom w:val="nil"/>
          <w:right w:val="nil"/>
          <w:between w:val="nil"/>
        </w:pBdr>
        <w:rPr>
          <w:rFonts w:ascii="Cambria" w:eastAsia="Cambria" w:hAnsi="Cambria" w:cs="Cambria"/>
          <w:color w:val="000000"/>
        </w:rPr>
      </w:pPr>
    </w:p>
    <w:p w14:paraId="000000E6" w14:textId="77777777" w:rsidR="00CD3527" w:rsidRDefault="00CD3527">
      <w:pPr>
        <w:pBdr>
          <w:top w:val="nil"/>
          <w:left w:val="nil"/>
          <w:bottom w:val="nil"/>
          <w:right w:val="nil"/>
          <w:between w:val="nil"/>
        </w:pBdr>
        <w:rPr>
          <w:rFonts w:ascii="Cambria" w:eastAsia="Cambria" w:hAnsi="Cambria" w:cs="Cambria"/>
          <w:color w:val="000000"/>
        </w:rPr>
      </w:pPr>
    </w:p>
    <w:p w14:paraId="000000E7" w14:textId="77777777" w:rsidR="00CD3527" w:rsidRDefault="00CD3527">
      <w:pPr>
        <w:pBdr>
          <w:top w:val="nil"/>
          <w:left w:val="nil"/>
          <w:bottom w:val="nil"/>
          <w:right w:val="nil"/>
          <w:between w:val="nil"/>
        </w:pBdr>
        <w:rPr>
          <w:rFonts w:ascii="Cambria" w:eastAsia="Cambria" w:hAnsi="Cambria" w:cs="Cambria"/>
          <w:color w:val="000000"/>
        </w:rPr>
      </w:pPr>
    </w:p>
    <w:p w14:paraId="000000E8" w14:textId="77777777" w:rsidR="00CD3527" w:rsidRDefault="00CD3527">
      <w:pPr>
        <w:pBdr>
          <w:top w:val="nil"/>
          <w:left w:val="nil"/>
          <w:bottom w:val="nil"/>
          <w:right w:val="nil"/>
          <w:between w:val="nil"/>
        </w:pBdr>
        <w:rPr>
          <w:rFonts w:ascii="Cambria" w:eastAsia="Cambria" w:hAnsi="Cambria" w:cs="Cambria"/>
          <w:color w:val="000000"/>
        </w:rPr>
      </w:pPr>
    </w:p>
    <w:p w14:paraId="000000E9" w14:textId="77777777" w:rsidR="00CD3527" w:rsidRDefault="00CD3527">
      <w:pPr>
        <w:pBdr>
          <w:top w:val="nil"/>
          <w:left w:val="nil"/>
          <w:bottom w:val="nil"/>
          <w:right w:val="nil"/>
          <w:between w:val="nil"/>
        </w:pBdr>
        <w:rPr>
          <w:rFonts w:ascii="Cambria" w:eastAsia="Cambria" w:hAnsi="Cambria" w:cs="Cambria"/>
          <w:color w:val="000000"/>
        </w:rPr>
      </w:pPr>
    </w:p>
    <w:p w14:paraId="000000EA" w14:textId="77777777" w:rsidR="00CD3527" w:rsidRDefault="00CD3527">
      <w:pPr>
        <w:pBdr>
          <w:top w:val="nil"/>
          <w:left w:val="nil"/>
          <w:bottom w:val="nil"/>
          <w:right w:val="nil"/>
          <w:between w:val="nil"/>
        </w:pBdr>
        <w:rPr>
          <w:rFonts w:ascii="Cambria" w:eastAsia="Cambria" w:hAnsi="Cambria" w:cs="Cambria"/>
          <w:color w:val="000000"/>
        </w:rPr>
      </w:pPr>
    </w:p>
    <w:p w14:paraId="000000EB" w14:textId="77777777" w:rsidR="00CD3527" w:rsidRDefault="00CD3527">
      <w:pPr>
        <w:pBdr>
          <w:top w:val="nil"/>
          <w:left w:val="nil"/>
          <w:bottom w:val="nil"/>
          <w:right w:val="nil"/>
          <w:between w:val="nil"/>
        </w:pBdr>
        <w:rPr>
          <w:rFonts w:ascii="Cambria" w:eastAsia="Cambria" w:hAnsi="Cambria" w:cs="Cambria"/>
          <w:color w:val="000000"/>
        </w:rPr>
      </w:pPr>
    </w:p>
    <w:p w14:paraId="000000EC" w14:textId="77777777" w:rsidR="00CD3527" w:rsidRDefault="00CD3527">
      <w:pPr>
        <w:pBdr>
          <w:top w:val="nil"/>
          <w:left w:val="nil"/>
          <w:bottom w:val="nil"/>
          <w:right w:val="nil"/>
          <w:between w:val="nil"/>
        </w:pBdr>
        <w:rPr>
          <w:rFonts w:ascii="Cambria" w:eastAsia="Cambria" w:hAnsi="Cambria" w:cs="Cambria"/>
          <w:color w:val="000000"/>
        </w:rPr>
      </w:pPr>
    </w:p>
    <w:p w14:paraId="000000ED" w14:textId="77777777" w:rsidR="00CD3527" w:rsidRDefault="00CD3527">
      <w:pPr>
        <w:pBdr>
          <w:top w:val="nil"/>
          <w:left w:val="nil"/>
          <w:bottom w:val="nil"/>
          <w:right w:val="nil"/>
          <w:between w:val="nil"/>
        </w:pBdr>
        <w:rPr>
          <w:rFonts w:ascii="Cambria" w:eastAsia="Cambria" w:hAnsi="Cambria" w:cs="Cambria"/>
          <w:color w:val="000000"/>
        </w:rPr>
      </w:pPr>
    </w:p>
    <w:p w14:paraId="000000EE" w14:textId="77777777" w:rsidR="00CD3527" w:rsidRDefault="00CD3527">
      <w:pPr>
        <w:pBdr>
          <w:top w:val="nil"/>
          <w:left w:val="nil"/>
          <w:bottom w:val="nil"/>
          <w:right w:val="nil"/>
          <w:between w:val="nil"/>
        </w:pBdr>
        <w:rPr>
          <w:rFonts w:ascii="Cambria" w:eastAsia="Cambria" w:hAnsi="Cambria" w:cs="Cambria"/>
          <w:color w:val="000000"/>
        </w:rPr>
      </w:pPr>
    </w:p>
    <w:p w14:paraId="000000EF" w14:textId="77777777" w:rsidR="00CD3527" w:rsidRDefault="00CD3527">
      <w:pPr>
        <w:pBdr>
          <w:top w:val="nil"/>
          <w:left w:val="nil"/>
          <w:bottom w:val="nil"/>
          <w:right w:val="nil"/>
          <w:between w:val="nil"/>
        </w:pBdr>
        <w:rPr>
          <w:rFonts w:ascii="Cambria" w:eastAsia="Cambria" w:hAnsi="Cambria" w:cs="Cambria"/>
          <w:color w:val="000000"/>
        </w:rPr>
      </w:pPr>
    </w:p>
    <w:p w14:paraId="000000F0" w14:textId="77777777" w:rsidR="00CD3527" w:rsidRDefault="00CD3527">
      <w:pPr>
        <w:pBdr>
          <w:top w:val="nil"/>
          <w:left w:val="nil"/>
          <w:bottom w:val="nil"/>
          <w:right w:val="nil"/>
          <w:between w:val="nil"/>
        </w:pBdr>
        <w:rPr>
          <w:rFonts w:ascii="Cambria" w:eastAsia="Cambria" w:hAnsi="Cambria" w:cs="Cambria"/>
          <w:color w:val="000000"/>
        </w:rPr>
      </w:pPr>
    </w:p>
    <w:p w14:paraId="000000F1" w14:textId="77777777" w:rsidR="00CD3527" w:rsidRDefault="00CD3527">
      <w:pPr>
        <w:pBdr>
          <w:top w:val="nil"/>
          <w:left w:val="nil"/>
          <w:bottom w:val="nil"/>
          <w:right w:val="nil"/>
          <w:between w:val="nil"/>
        </w:pBdr>
        <w:rPr>
          <w:rFonts w:ascii="Cambria" w:eastAsia="Cambria" w:hAnsi="Cambria" w:cs="Cambria"/>
          <w:color w:val="000000"/>
        </w:rPr>
      </w:pPr>
    </w:p>
    <w:p w14:paraId="000000F2" w14:textId="77777777" w:rsidR="00CD3527" w:rsidRDefault="00CD3527">
      <w:pPr>
        <w:pBdr>
          <w:top w:val="nil"/>
          <w:left w:val="nil"/>
          <w:bottom w:val="nil"/>
          <w:right w:val="nil"/>
          <w:between w:val="nil"/>
        </w:pBdr>
        <w:rPr>
          <w:rFonts w:ascii="Cambria" w:eastAsia="Cambria" w:hAnsi="Cambria" w:cs="Cambria"/>
          <w:color w:val="000000"/>
        </w:rPr>
      </w:pPr>
    </w:p>
    <w:p w14:paraId="000000F3" w14:textId="77777777" w:rsidR="00CD3527" w:rsidRDefault="00CD3527">
      <w:pPr>
        <w:pBdr>
          <w:top w:val="nil"/>
          <w:left w:val="nil"/>
          <w:bottom w:val="nil"/>
          <w:right w:val="nil"/>
          <w:between w:val="nil"/>
        </w:pBdr>
        <w:rPr>
          <w:rFonts w:ascii="Cambria" w:eastAsia="Cambria" w:hAnsi="Cambria" w:cs="Cambria"/>
          <w:color w:val="000000"/>
        </w:rPr>
      </w:pPr>
    </w:p>
    <w:p w14:paraId="000000F4" w14:textId="77777777" w:rsidR="00CD3527" w:rsidRDefault="00CD3527">
      <w:pPr>
        <w:pBdr>
          <w:top w:val="nil"/>
          <w:left w:val="nil"/>
          <w:bottom w:val="nil"/>
          <w:right w:val="nil"/>
          <w:between w:val="nil"/>
        </w:pBdr>
        <w:rPr>
          <w:rFonts w:ascii="Cambria" w:eastAsia="Cambria" w:hAnsi="Cambria" w:cs="Cambria"/>
          <w:color w:val="000000"/>
        </w:rPr>
      </w:pPr>
    </w:p>
    <w:p w14:paraId="000000F5" w14:textId="77777777" w:rsidR="00CD3527" w:rsidRDefault="00CD3527">
      <w:pPr>
        <w:pBdr>
          <w:top w:val="nil"/>
          <w:left w:val="nil"/>
          <w:bottom w:val="nil"/>
          <w:right w:val="nil"/>
          <w:between w:val="nil"/>
        </w:pBdr>
        <w:rPr>
          <w:rFonts w:ascii="Cambria" w:eastAsia="Cambria" w:hAnsi="Cambria" w:cs="Cambria"/>
          <w:color w:val="000000"/>
        </w:rPr>
      </w:pPr>
    </w:p>
    <w:p w14:paraId="000000F6" w14:textId="77777777" w:rsidR="00CD3527" w:rsidRDefault="00CD3527">
      <w:pPr>
        <w:pBdr>
          <w:top w:val="nil"/>
          <w:left w:val="nil"/>
          <w:bottom w:val="nil"/>
          <w:right w:val="nil"/>
          <w:between w:val="nil"/>
        </w:pBdr>
        <w:rPr>
          <w:rFonts w:ascii="Cambria" w:eastAsia="Cambria" w:hAnsi="Cambria" w:cs="Cambria"/>
          <w:color w:val="000000"/>
        </w:rPr>
      </w:pPr>
    </w:p>
    <w:p w14:paraId="000000F7" w14:textId="77777777" w:rsidR="00CD3527" w:rsidRDefault="00CD3527">
      <w:pPr>
        <w:pBdr>
          <w:top w:val="nil"/>
          <w:left w:val="nil"/>
          <w:bottom w:val="nil"/>
          <w:right w:val="nil"/>
          <w:between w:val="nil"/>
        </w:pBdr>
        <w:rPr>
          <w:rFonts w:ascii="Cambria" w:eastAsia="Cambria" w:hAnsi="Cambria" w:cs="Cambria"/>
          <w:color w:val="000000"/>
        </w:rPr>
      </w:pPr>
    </w:p>
    <w:p w14:paraId="000000F8" w14:textId="77777777" w:rsidR="00CD3527" w:rsidRDefault="00CD3527">
      <w:pPr>
        <w:pBdr>
          <w:top w:val="nil"/>
          <w:left w:val="nil"/>
          <w:bottom w:val="nil"/>
          <w:right w:val="nil"/>
          <w:between w:val="nil"/>
        </w:pBdr>
        <w:rPr>
          <w:rFonts w:ascii="Cambria" w:eastAsia="Cambria" w:hAnsi="Cambria" w:cs="Cambria"/>
          <w:color w:val="000000"/>
        </w:rPr>
      </w:pPr>
    </w:p>
    <w:p w14:paraId="000000F9" w14:textId="77777777" w:rsidR="00CD3527" w:rsidRDefault="00CD3527">
      <w:pPr>
        <w:pBdr>
          <w:top w:val="nil"/>
          <w:left w:val="nil"/>
          <w:bottom w:val="nil"/>
          <w:right w:val="nil"/>
          <w:between w:val="nil"/>
        </w:pBdr>
        <w:rPr>
          <w:rFonts w:ascii="Cambria" w:eastAsia="Cambria" w:hAnsi="Cambria" w:cs="Cambria"/>
          <w:color w:val="000000"/>
        </w:rPr>
      </w:pPr>
    </w:p>
    <w:p w14:paraId="000000FA" w14:textId="77777777" w:rsidR="00CD3527" w:rsidRDefault="00CD3527">
      <w:pPr>
        <w:pBdr>
          <w:top w:val="nil"/>
          <w:left w:val="nil"/>
          <w:bottom w:val="nil"/>
          <w:right w:val="nil"/>
          <w:between w:val="nil"/>
        </w:pBdr>
        <w:rPr>
          <w:rFonts w:ascii="Cambria" w:eastAsia="Cambria" w:hAnsi="Cambria" w:cs="Cambria"/>
          <w:color w:val="000000"/>
        </w:rPr>
      </w:pPr>
    </w:p>
    <w:p w14:paraId="000000FB" w14:textId="77777777" w:rsidR="00CD3527" w:rsidRDefault="00CD3527">
      <w:pPr>
        <w:pBdr>
          <w:top w:val="nil"/>
          <w:left w:val="nil"/>
          <w:bottom w:val="nil"/>
          <w:right w:val="nil"/>
          <w:between w:val="nil"/>
        </w:pBdr>
        <w:rPr>
          <w:rFonts w:ascii="Cambria" w:eastAsia="Cambria" w:hAnsi="Cambria" w:cs="Cambria"/>
          <w:color w:val="000000"/>
        </w:rPr>
      </w:pPr>
    </w:p>
    <w:p w14:paraId="000000FC" w14:textId="77777777" w:rsidR="00CD3527" w:rsidRDefault="00CD3527">
      <w:pPr>
        <w:pBdr>
          <w:top w:val="nil"/>
          <w:left w:val="nil"/>
          <w:bottom w:val="nil"/>
          <w:right w:val="nil"/>
          <w:between w:val="nil"/>
        </w:pBdr>
        <w:rPr>
          <w:rFonts w:ascii="Cambria" w:eastAsia="Cambria" w:hAnsi="Cambria" w:cs="Cambria"/>
          <w:color w:val="000000"/>
        </w:rPr>
      </w:pPr>
    </w:p>
    <w:p w14:paraId="000000FD" w14:textId="77777777" w:rsidR="00CD3527" w:rsidRDefault="007F4AED">
      <w:pPr>
        <w:pStyle w:val="Heading1"/>
      </w:pPr>
      <w:bookmarkStart w:id="25" w:name="_heading=h.2xcytpi" w:colFirst="0" w:colLast="0"/>
      <w:bookmarkEnd w:id="25"/>
      <w:r>
        <w:lastRenderedPageBreak/>
        <w:t>College Policies</w:t>
      </w:r>
    </w:p>
    <w:p w14:paraId="000000FE" w14:textId="2B20EFDD" w:rsidR="00CD3527" w:rsidRDefault="007F4AED">
      <w:pPr>
        <w:numPr>
          <w:ilvl w:val="0"/>
          <w:numId w:val="32"/>
        </w:numPr>
        <w:pBdr>
          <w:top w:val="nil"/>
          <w:left w:val="nil"/>
          <w:bottom w:val="nil"/>
          <w:right w:val="nil"/>
          <w:between w:val="nil"/>
        </w:pBdr>
        <w:shd w:val="clear" w:color="auto" w:fill="FFFFFF"/>
        <w:spacing w:before="280" w:after="240"/>
        <w:rPr>
          <w:rFonts w:ascii="Cambria" w:eastAsia="Cambria" w:hAnsi="Cambria" w:cs="Cambria"/>
          <w:color w:val="333333"/>
        </w:rPr>
      </w:pPr>
      <w:r>
        <w:rPr>
          <w:rFonts w:ascii="Cambria" w:eastAsia="Cambria" w:hAnsi="Cambria" w:cs="Cambria"/>
          <w:b/>
          <w:color w:val="333333"/>
        </w:rPr>
        <w:t>Accommodations</w:t>
      </w:r>
      <w:r>
        <w:rPr>
          <w:rFonts w:ascii="Cambria" w:eastAsia="Cambria" w:hAnsi="Cambria" w:cs="Cambria"/>
          <w:color w:val="333333"/>
        </w:rPr>
        <w:t> – The College will make reasonable accommodations for persons with documented disabilities.  Students are encouraged to contact the Office of Access and Services for Individuals with Disabilities (OASID) for information about registration. You can reach OASID by email at oasid@tc.columbia.edu, stop by 301 Zankel, or call 212-678-3689. Services are available only to students who have registered and submit appropriate documentation.  Course instructors will discuss specific needs with students as well. Any access related concerns about instructional material should be reported to OASID and your course instructor.</w:t>
      </w:r>
    </w:p>
    <w:p w14:paraId="000000FF" w14:textId="77777777" w:rsidR="00CD3527" w:rsidRDefault="007F4AED">
      <w:pPr>
        <w:numPr>
          <w:ilvl w:val="0"/>
          <w:numId w:val="32"/>
        </w:numPr>
        <w:pBdr>
          <w:top w:val="nil"/>
          <w:left w:val="nil"/>
          <w:bottom w:val="nil"/>
          <w:right w:val="nil"/>
          <w:between w:val="nil"/>
        </w:pBdr>
        <w:shd w:val="clear" w:color="auto" w:fill="FFFFFF"/>
        <w:spacing w:after="240"/>
        <w:rPr>
          <w:rFonts w:ascii="Cambria" w:eastAsia="Cambria" w:hAnsi="Cambria" w:cs="Cambria"/>
          <w:color w:val="333333"/>
        </w:rPr>
      </w:pPr>
      <w:r>
        <w:rPr>
          <w:rFonts w:ascii="Cambria" w:eastAsia="Cambria" w:hAnsi="Cambria" w:cs="Cambria"/>
          <w:b/>
          <w:color w:val="333333"/>
        </w:rPr>
        <w:t>Incomplete Grades</w:t>
      </w:r>
      <w:r>
        <w:rPr>
          <w:rFonts w:ascii="Cambria" w:eastAsia="Cambria" w:hAnsi="Cambria" w:cs="Cambria"/>
          <w:color w:val="333333"/>
        </w:rPr>
        <w:t> – For the full text of the Incomplete Grade policy please refer to </w:t>
      </w:r>
      <w:hyperlink r:id="rId15">
        <w:r>
          <w:rPr>
            <w:rFonts w:ascii="Cambria" w:eastAsia="Cambria" w:hAnsi="Cambria" w:cs="Cambria"/>
            <w:color w:val="337AB7"/>
            <w:u w:val="single"/>
          </w:rPr>
          <w:t>http://www.tc.columbia.edu/policylibrary/Incomplete Grades</w:t>
        </w:r>
      </w:hyperlink>
    </w:p>
    <w:p w14:paraId="00000100" w14:textId="77777777" w:rsidR="00CD3527" w:rsidRDefault="007F4AED">
      <w:pPr>
        <w:numPr>
          <w:ilvl w:val="0"/>
          <w:numId w:val="32"/>
        </w:numPr>
        <w:pBdr>
          <w:top w:val="nil"/>
          <w:left w:val="nil"/>
          <w:bottom w:val="nil"/>
          <w:right w:val="nil"/>
          <w:between w:val="nil"/>
        </w:pBdr>
        <w:shd w:val="clear" w:color="auto" w:fill="FFFFFF"/>
        <w:spacing w:after="240"/>
        <w:rPr>
          <w:rFonts w:ascii="Cambria" w:eastAsia="Cambria" w:hAnsi="Cambria" w:cs="Cambria"/>
          <w:color w:val="333333"/>
        </w:rPr>
      </w:pPr>
      <w:r>
        <w:rPr>
          <w:rFonts w:ascii="Cambria" w:eastAsia="Cambria" w:hAnsi="Cambria" w:cs="Cambria"/>
          <w:b/>
          <w:color w:val="333333"/>
        </w:rPr>
        <w:t>Student Responsibility for Monitoring TC email account </w:t>
      </w:r>
      <w:r>
        <w:rPr>
          <w:rFonts w:ascii="Cambria" w:eastAsia="Cambria" w:hAnsi="Cambria" w:cs="Cambria"/>
          <w:color w:val="333333"/>
        </w:rPr>
        <w:t>– Students are expected to monitor their TC email accounts. For the full text of the Student Responsibility for Monitoring TC email account please refer to </w:t>
      </w:r>
      <w:hyperlink r:id="rId16">
        <w:r>
          <w:rPr>
            <w:rFonts w:ascii="Cambria" w:eastAsia="Cambria" w:hAnsi="Cambria" w:cs="Cambria"/>
            <w:color w:val="337AB7"/>
            <w:u w:val="single"/>
          </w:rPr>
          <w:t>http://www.tc.columbia.edu/policylibrary/Student Responsibility for Monitoring TC Email Account</w:t>
        </w:r>
      </w:hyperlink>
    </w:p>
    <w:p w14:paraId="00000101" w14:textId="77777777" w:rsidR="00CD3527" w:rsidRDefault="007F4AED">
      <w:pPr>
        <w:numPr>
          <w:ilvl w:val="0"/>
          <w:numId w:val="32"/>
        </w:numPr>
        <w:pBdr>
          <w:top w:val="nil"/>
          <w:left w:val="nil"/>
          <w:bottom w:val="nil"/>
          <w:right w:val="nil"/>
          <w:between w:val="nil"/>
        </w:pBdr>
        <w:shd w:val="clear" w:color="auto" w:fill="FFFFFF"/>
        <w:spacing w:after="240"/>
        <w:rPr>
          <w:rFonts w:ascii="Cambria" w:eastAsia="Cambria" w:hAnsi="Cambria" w:cs="Cambria"/>
          <w:color w:val="333333"/>
        </w:rPr>
      </w:pPr>
      <w:r>
        <w:rPr>
          <w:rFonts w:ascii="Cambria" w:eastAsia="Cambria" w:hAnsi="Cambria" w:cs="Cambria"/>
          <w:b/>
          <w:color w:val="333333"/>
        </w:rPr>
        <w:t>Religious Observance </w:t>
      </w:r>
      <w:r>
        <w:rPr>
          <w:rFonts w:ascii="Cambria" w:eastAsia="Cambria" w:hAnsi="Cambria" w:cs="Cambria"/>
          <w:color w:val="333333"/>
        </w:rPr>
        <w:t>– For the full text of the Religious Observance policy, please refer to </w:t>
      </w:r>
      <w:hyperlink r:id="rId17">
        <w:r>
          <w:rPr>
            <w:rFonts w:ascii="Cambria" w:eastAsia="Cambria" w:hAnsi="Cambria" w:cs="Cambria"/>
            <w:color w:val="337AB7"/>
            <w:u w:val="single"/>
          </w:rPr>
          <w:t>http://www.tc.columbia.edu/policylibrary/provost/religious-observance/</w:t>
        </w:r>
      </w:hyperlink>
    </w:p>
    <w:p w14:paraId="00000102" w14:textId="77777777" w:rsidR="00CD3527" w:rsidRDefault="007F4AED">
      <w:pPr>
        <w:numPr>
          <w:ilvl w:val="0"/>
          <w:numId w:val="32"/>
        </w:numPr>
        <w:pBdr>
          <w:top w:val="nil"/>
          <w:left w:val="nil"/>
          <w:bottom w:val="nil"/>
          <w:right w:val="nil"/>
          <w:between w:val="nil"/>
        </w:pBdr>
        <w:shd w:val="clear" w:color="auto" w:fill="FFFFFF"/>
        <w:spacing w:after="240"/>
        <w:rPr>
          <w:rFonts w:ascii="Cambria" w:eastAsia="Cambria" w:hAnsi="Cambria" w:cs="Cambria"/>
          <w:color w:val="333333"/>
        </w:rPr>
      </w:pPr>
      <w:r>
        <w:rPr>
          <w:rFonts w:ascii="Cambria" w:eastAsia="Cambria" w:hAnsi="Cambria" w:cs="Cambria"/>
          <w:b/>
          <w:color w:val="000000"/>
        </w:rPr>
        <w:t>Teachers College Policy on Protection from Harassment</w:t>
      </w:r>
      <w:r>
        <w:rPr>
          <w:rFonts w:ascii="Cambria" w:eastAsia="Cambria" w:hAnsi="Cambria" w:cs="Cambria"/>
          <w:color w:val="000000"/>
        </w:rPr>
        <w:t xml:space="preserve"> - Teachers College is committed to providing a working and learning environment free from harassment and to fostering a vibrant, nurturing community founded upon the fundamental dignity and worth of all of its members. Continuing its long-standing support of active equality for all, the College prohibits discrimination, including harassment, on the basis of race, color, religion, creed, sex, sexual orientation, national origin, ancestry, age, marital status, citizenship status, veteran status, disability, pregnancy, gender expression, or any other criterion specified by federal, state or local laws. Consistent with this commitment and with applicable federal, state, and local laws, it is the policy of the College (1) not to tolerate harassment in any form, (2) to actively foster prevention of harassment in the TC community, and (3) to provide faculty, students, administrators, and staff with mechanisms for seeking informal or formal resolution of harassment concerns and complaints. </w:t>
      </w:r>
    </w:p>
    <w:p w14:paraId="00000103" w14:textId="165A4D29" w:rsidR="00CD3527" w:rsidRDefault="007F4AED">
      <w:pPr>
        <w:pBdr>
          <w:top w:val="nil"/>
          <w:left w:val="nil"/>
          <w:bottom w:val="nil"/>
          <w:right w:val="nil"/>
          <w:between w:val="nil"/>
        </w:pBdr>
        <w:shd w:val="clear" w:color="auto" w:fill="FFFFFF"/>
        <w:spacing w:before="280" w:after="240"/>
        <w:ind w:left="720"/>
        <w:rPr>
          <w:rFonts w:ascii="Cambria" w:eastAsia="Cambria" w:hAnsi="Cambria" w:cs="Cambria"/>
          <w:color w:val="333333"/>
        </w:rPr>
      </w:pPr>
      <w:r>
        <w:rPr>
          <w:rFonts w:ascii="Cambria" w:eastAsia="Cambria" w:hAnsi="Cambria" w:cs="Cambria"/>
          <w:b/>
          <w:color w:val="333333"/>
        </w:rPr>
        <w:t>Sexual Harassment and Violence Reporting</w:t>
      </w:r>
      <w:r>
        <w:rPr>
          <w:rFonts w:ascii="Cambria" w:eastAsia="Cambria" w:hAnsi="Cambria" w:cs="Cambria"/>
          <w:color w:val="333333"/>
        </w:rPr>
        <w:t xml:space="preserve"> – Teachers College is committed to maintaining a safe environment for students. Because of this commitment and because of federal and state regulations, we must advise you that if you tell any of your instructors about sexual harassment or gender-based misconduct involving a member of the campus community, your instructor is required to report this information to the Title IX Coordinator, Janice Robinson. She will </w:t>
      </w:r>
      <w:r>
        <w:rPr>
          <w:rFonts w:ascii="Cambria" w:eastAsia="Cambria" w:hAnsi="Cambria" w:cs="Cambria"/>
          <w:color w:val="333333"/>
        </w:rPr>
        <w:lastRenderedPageBreak/>
        <w:t>treat this information as private, but will need to follow up with you and possibly look into the matter. “Gender-based misconduct” includes sexual assault, stalking, sexual harassment, dating violence, domestic violence, sexual exploitation, and gender-based harassment. For more information, see </w:t>
      </w:r>
      <w:hyperlink r:id="rId18">
        <w:r>
          <w:rPr>
            <w:rFonts w:ascii="Cambria" w:eastAsia="Cambria" w:hAnsi="Cambria" w:cs="Cambria"/>
            <w:color w:val="337AB7"/>
            <w:u w:val="single"/>
          </w:rPr>
          <w:t>http://sexualrespect.columbia.edu/gender-based-misconduct-policy-students</w:t>
        </w:r>
      </w:hyperlink>
      <w:r>
        <w:rPr>
          <w:rFonts w:ascii="Cambria" w:eastAsia="Cambria" w:hAnsi="Cambria" w:cs="Cambria"/>
          <w:b/>
          <w:color w:val="000000"/>
        </w:rPr>
        <w:t>.</w:t>
      </w:r>
    </w:p>
    <w:p w14:paraId="00000104" w14:textId="77777777" w:rsidR="00CD3527" w:rsidRDefault="007F4AED">
      <w:pPr>
        <w:numPr>
          <w:ilvl w:val="0"/>
          <w:numId w:val="32"/>
        </w:numPr>
        <w:pBdr>
          <w:top w:val="nil"/>
          <w:left w:val="nil"/>
          <w:bottom w:val="nil"/>
          <w:right w:val="nil"/>
          <w:between w:val="nil"/>
        </w:pBdr>
        <w:shd w:val="clear" w:color="auto" w:fill="FFFFFF"/>
        <w:spacing w:before="280" w:after="240"/>
        <w:rPr>
          <w:rFonts w:ascii="Cambria" w:eastAsia="Cambria" w:hAnsi="Cambria" w:cs="Cambria"/>
          <w:color w:val="333333"/>
        </w:rPr>
      </w:pPr>
      <w:r>
        <w:rPr>
          <w:rFonts w:ascii="Cambria" w:eastAsia="Cambria" w:hAnsi="Cambria" w:cs="Cambria"/>
          <w:b/>
          <w:color w:val="000000"/>
        </w:rPr>
        <w:t>Statement on Academic Conduct</w:t>
      </w:r>
      <w:r>
        <w:rPr>
          <w:rFonts w:ascii="Cambria" w:eastAsia="Cambria" w:hAnsi="Cambria" w:cs="Cambria"/>
          <w:color w:val="000000"/>
        </w:rPr>
        <w:t>: A Teachers College student is expected to refrain from any conduct, including cheating, plagiarizing, or purchasing documents submitted for academic evaluation, that calls into question his/her academic and/or professional probity. Decisions regarding academic evaluation in all aspects of students’ work at the college, including course work, certification examinations, clinical or field experiences, and preparation of dissertations, are within the sole jurisdiction of the faculty concerned, including as appropriate, the department or program staff members. Disciplinary actions (e.g., reprimand, suspension, or dismissal) in cases of academic misconduct can be imposed by the Vice Provost or the Committee on Student Conduct.</w:t>
      </w:r>
    </w:p>
    <w:p w14:paraId="00000105" w14:textId="77777777" w:rsidR="00CD3527" w:rsidRDefault="007F4AED">
      <w:pPr>
        <w:numPr>
          <w:ilvl w:val="0"/>
          <w:numId w:val="32"/>
        </w:numPr>
        <w:pBdr>
          <w:top w:val="nil"/>
          <w:left w:val="nil"/>
          <w:bottom w:val="nil"/>
          <w:right w:val="nil"/>
          <w:between w:val="nil"/>
        </w:pBdr>
        <w:shd w:val="clear" w:color="auto" w:fill="FFFFFF"/>
        <w:spacing w:after="240"/>
        <w:rPr>
          <w:rFonts w:ascii="Cambria" w:eastAsia="Cambria" w:hAnsi="Cambria" w:cs="Cambria"/>
          <w:color w:val="333333"/>
        </w:rPr>
      </w:pPr>
      <w:r>
        <w:rPr>
          <w:rFonts w:ascii="Cambria" w:eastAsia="Cambria" w:hAnsi="Cambria" w:cs="Cambria"/>
          <w:b/>
          <w:color w:val="000000"/>
        </w:rPr>
        <w:t>Resolution of Student Academic Program Concerns</w:t>
      </w:r>
      <w:r>
        <w:rPr>
          <w:rFonts w:ascii="Cambria" w:eastAsia="Cambria" w:hAnsi="Cambria" w:cs="Cambria"/>
          <w:color w:val="000000"/>
        </w:rPr>
        <w:t>: Any student who has a concern regarding an academic matter may seek assistance. The procedure for resolving academic program concerns (see note of grade correction process below) begins with either the faculty member (if the concern is related to a course) or the student’s advisor.  If the student is not satisfied with the response or resolution achieved at this first level, or if speaking with the faculty member presents a conflict of interest for the student, the student should proceed to speak with the Director of Clinical Training. If the student is not satisfied with the response or resolution achieved through the DCT, the student should proceed to speak with the Chair of the academic department in which the academic concern resides. If the student is still not satisfied with the response or resolution achieved through the Department Chair, or if speaking with the Department Chair presents a conflict of interest for the student, the next step is to contact the Office of the Vice Provost. At any stage of the process, students are welcome to seek the advice and guidance of the Ombudsperson, currently Professor Stephen Peverly, Ph.D. (</w:t>
      </w:r>
      <w:hyperlink r:id="rId19">
        <w:r>
          <w:rPr>
            <w:rFonts w:ascii="Cambria" w:eastAsia="Cambria" w:hAnsi="Cambria" w:cs="Cambria"/>
            <w:color w:val="0000FF"/>
            <w:u w:val="single"/>
          </w:rPr>
          <w:t>ombuds@tc.columbia.edu</w:t>
        </w:r>
      </w:hyperlink>
      <w:r>
        <w:rPr>
          <w:rFonts w:ascii="Cambria" w:eastAsia="Cambria" w:hAnsi="Cambria" w:cs="Cambria"/>
          <w:color w:val="000000"/>
        </w:rPr>
        <w:t xml:space="preserve">) who is charged with attempting to informally resolve student dissatisfaction of an academic nature on a completely confidential basis.  </w:t>
      </w:r>
    </w:p>
    <w:p w14:paraId="00000106" w14:textId="19734064" w:rsidR="00CD3527" w:rsidRDefault="007F4AED">
      <w:pPr>
        <w:numPr>
          <w:ilvl w:val="0"/>
          <w:numId w:val="32"/>
        </w:numPr>
        <w:pBdr>
          <w:top w:val="nil"/>
          <w:left w:val="nil"/>
          <w:bottom w:val="nil"/>
          <w:right w:val="nil"/>
          <w:between w:val="nil"/>
        </w:pBdr>
        <w:shd w:val="clear" w:color="auto" w:fill="FFFFFF"/>
        <w:spacing w:after="240"/>
        <w:rPr>
          <w:rFonts w:ascii="Cambria" w:eastAsia="Cambria" w:hAnsi="Cambria" w:cs="Cambria"/>
          <w:color w:val="333333"/>
        </w:rPr>
      </w:pPr>
      <w:bookmarkStart w:id="26" w:name="_heading=h.1ci93xb" w:colFirst="0" w:colLast="0"/>
      <w:bookmarkEnd w:id="26"/>
      <w:r>
        <w:rPr>
          <w:rFonts w:ascii="Cambria" w:eastAsia="Cambria" w:hAnsi="Cambria" w:cs="Cambria"/>
          <w:b/>
          <w:color w:val="000000"/>
        </w:rPr>
        <w:t>Grade Correction Procedure</w:t>
      </w:r>
      <w:r>
        <w:rPr>
          <w:rFonts w:ascii="Cambria" w:eastAsia="Cambria" w:hAnsi="Cambria" w:cs="Cambria"/>
          <w:color w:val="000000"/>
        </w:rPr>
        <w:t>: The instructor for a course has the responsibility for setting the requirements for a course and</w:t>
      </w:r>
      <w:r w:rsidR="00D74864">
        <w:rPr>
          <w:rFonts w:ascii="Cambria" w:eastAsia="Cambria" w:hAnsi="Cambria" w:cs="Cambria"/>
          <w:color w:val="000000"/>
        </w:rPr>
        <w:t xml:space="preserve"> evaluating</w:t>
      </w:r>
      <w:r>
        <w:rPr>
          <w:rFonts w:ascii="Cambria" w:eastAsia="Cambria" w:hAnsi="Cambria" w:cs="Cambria"/>
          <w:color w:val="000000"/>
        </w:rPr>
        <w:t xml:space="preserve"> students’ work. Once a grade has been given, the instructor is not free to change </w:t>
      </w:r>
      <w:r w:rsidR="00A022A2">
        <w:rPr>
          <w:rFonts w:ascii="Cambria" w:eastAsia="Cambria" w:hAnsi="Cambria" w:cs="Cambria"/>
          <w:color w:val="000000"/>
        </w:rPr>
        <w:t>it</w:t>
      </w:r>
      <w:r>
        <w:rPr>
          <w:rFonts w:ascii="Cambria" w:eastAsia="Cambria" w:hAnsi="Cambria" w:cs="Cambria"/>
          <w:color w:val="000000"/>
        </w:rPr>
        <w:t xml:space="preserve"> unless the instructor indicates to the Registrar that an error was made in the original grade transmitted. If a student believes that an error has been made, he/she must take the initiative in bringing about the necessary correction prior to the conclusion of the semester </w:t>
      </w:r>
      <w:r w:rsidR="00A022A2">
        <w:rPr>
          <w:rFonts w:ascii="Cambria" w:eastAsia="Cambria" w:hAnsi="Cambria" w:cs="Cambria"/>
          <w:color w:val="000000"/>
        </w:rPr>
        <w:t>or</w:t>
      </w:r>
      <w:r w:rsidR="00585C98">
        <w:rPr>
          <w:rFonts w:ascii="Cambria" w:eastAsia="Cambria" w:hAnsi="Cambria" w:cs="Cambria"/>
          <w:color w:val="000000"/>
        </w:rPr>
        <w:t xml:space="preserve"> by determined by the instructor of record</w:t>
      </w:r>
      <w:r w:rsidR="00A022A2">
        <w:rPr>
          <w:rFonts w:ascii="Cambria" w:eastAsia="Cambria" w:hAnsi="Cambria" w:cs="Cambria"/>
          <w:color w:val="000000"/>
        </w:rPr>
        <w:t xml:space="preserve">? </w:t>
      </w:r>
      <w:r>
        <w:rPr>
          <w:rFonts w:ascii="Cambria" w:eastAsia="Cambria" w:hAnsi="Cambria" w:cs="Cambria"/>
          <w:color w:val="000000"/>
        </w:rPr>
        <w:t xml:space="preserve">immediately following the semester in which the course was taken. The normal procedure for effecting a correction would be through direct discussion </w:t>
      </w:r>
      <w:r>
        <w:rPr>
          <w:rFonts w:ascii="Cambria" w:eastAsia="Cambria" w:hAnsi="Cambria" w:cs="Cambria"/>
          <w:color w:val="000000"/>
        </w:rPr>
        <w:lastRenderedPageBreak/>
        <w:t>between the student and the instructor. If redress cannot be attained through such discussions, the student may next appeal to the Chair of the department offering the course. If resolution cannot be attained through appeal, the student may next appeal to the Vice-Provost. In situations where the student feels that such an appeal process might not be in the student’s interest, counsel and assistance can be sought from the Office of the College Ombuds person.</w:t>
      </w:r>
    </w:p>
    <w:p w14:paraId="00000107" w14:textId="4B0236E7" w:rsidR="00CD3527" w:rsidRDefault="007F4AED">
      <w:pPr>
        <w:pStyle w:val="Heading1"/>
      </w:pPr>
      <w:bookmarkStart w:id="27" w:name="_heading=h.3whwml4" w:colFirst="0" w:colLast="0"/>
      <w:bookmarkEnd w:id="27"/>
      <w:r>
        <w:t>Definitions of Roles</w:t>
      </w:r>
      <w:r w:rsidR="00A022A2">
        <w:t xml:space="preserve"> </w:t>
      </w:r>
    </w:p>
    <w:p w14:paraId="00000118" w14:textId="77777777" w:rsidR="00CD3527" w:rsidRDefault="00CD3527">
      <w:pPr>
        <w:pBdr>
          <w:top w:val="nil"/>
          <w:left w:val="nil"/>
          <w:bottom w:val="nil"/>
          <w:right w:val="nil"/>
          <w:between w:val="nil"/>
        </w:pBdr>
        <w:rPr>
          <w:rFonts w:ascii="Cambria" w:eastAsia="Cambria" w:hAnsi="Cambria" w:cs="Cambria"/>
          <w:color w:val="000000"/>
        </w:rPr>
      </w:pPr>
    </w:p>
    <w:p w14:paraId="00000119"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i/>
          <w:color w:val="000000"/>
          <w:u w:val="single"/>
        </w:rPr>
        <w:t>Doctoral Research Fellows (DRF)</w:t>
      </w:r>
      <w:r>
        <w:rPr>
          <w:rFonts w:ascii="Cambria" w:eastAsia="Cambria" w:hAnsi="Cambria" w:cs="Cambria"/>
          <w:color w:val="000000"/>
        </w:rPr>
        <w:t xml:space="preserve"> - Doctoral Research Fellowship positions were created to provide modest support for research expenses while allowing students admitted to TC’s PhD and EdD programs time to pursue their studies and begin independent research.  Doctoral Research Fellows receive a salary and tuition points.  </w:t>
      </w:r>
    </w:p>
    <w:p w14:paraId="0000011A" w14:textId="77777777" w:rsidR="00CD3527" w:rsidRDefault="007F4AED">
      <w:pPr>
        <w:numPr>
          <w:ilvl w:val="0"/>
          <w:numId w:val="64"/>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Students must be registered for a minimum of nine credit hours (or the equivalent) during the academic year. Enrollment is not required to maintain DRF through the summer.  </w:t>
      </w:r>
    </w:p>
    <w:p w14:paraId="0000011B" w14:textId="77777777" w:rsidR="00CD3527" w:rsidRDefault="007F4AED">
      <w:pPr>
        <w:numPr>
          <w:ilvl w:val="0"/>
          <w:numId w:val="64"/>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DRFs may work up to 20 hours per week and earn between $20,000 and $30,000 each year.  DRFs cannot hold another position except Course Assistant (CA). </w:t>
      </w:r>
    </w:p>
    <w:p w14:paraId="0000011C" w14:textId="77777777" w:rsidR="00CD3527" w:rsidRDefault="007F4AED">
      <w:pPr>
        <w:numPr>
          <w:ilvl w:val="0"/>
          <w:numId w:val="64"/>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DRFs receive up to 30 points per academic year that will appear as part of their financial aid package after the add/drop period ends for each term.  </w:t>
      </w:r>
    </w:p>
    <w:p w14:paraId="0000011D" w14:textId="77777777" w:rsidR="00CD3527" w:rsidRDefault="007F4AED">
      <w:pPr>
        <w:numPr>
          <w:ilvl w:val="0"/>
          <w:numId w:val="64"/>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Total hours per week on average for all part-time positions held simultaneously cannot exceed 27.</w:t>
      </w:r>
    </w:p>
    <w:p w14:paraId="60CF10D0" w14:textId="77777777" w:rsidR="006E1C4B" w:rsidRDefault="006E1C4B">
      <w:pPr>
        <w:pBdr>
          <w:top w:val="nil"/>
          <w:left w:val="nil"/>
          <w:bottom w:val="nil"/>
          <w:right w:val="nil"/>
          <w:between w:val="nil"/>
        </w:pBdr>
        <w:rPr>
          <w:rFonts w:ascii="Cambria" w:eastAsia="Cambria" w:hAnsi="Cambria" w:cs="Cambria"/>
          <w:i/>
          <w:color w:val="000000"/>
        </w:rPr>
      </w:pPr>
    </w:p>
    <w:p w14:paraId="00000129"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i/>
          <w:color w:val="000000"/>
          <w:u w:val="single"/>
        </w:rPr>
        <w:t>Department Chair</w:t>
      </w:r>
      <w:r>
        <w:rPr>
          <w:rFonts w:ascii="Cambria" w:eastAsia="Cambria" w:hAnsi="Cambria" w:cs="Cambria"/>
          <w:i/>
          <w:color w:val="000000"/>
        </w:rPr>
        <w:t xml:space="preserve"> - </w:t>
      </w:r>
      <w:r>
        <w:rPr>
          <w:rFonts w:ascii="Cambria" w:eastAsia="Cambria" w:hAnsi="Cambria" w:cs="Cambria"/>
          <w:color w:val="000000"/>
        </w:rPr>
        <w:t>The Chair is responsible for leadership in developing the department's academic programs within the mission of the College. The Chair is responsible for informing the department of the perspectives and actions of the Provost and other administrators that might affect the department. Our current Chair is Professor Laura Smith (Counseling Psychology).</w:t>
      </w:r>
    </w:p>
    <w:p w14:paraId="0000012A" w14:textId="77777777" w:rsidR="00CD3527" w:rsidRDefault="00CD3527">
      <w:pPr>
        <w:pBdr>
          <w:top w:val="nil"/>
          <w:left w:val="nil"/>
          <w:bottom w:val="nil"/>
          <w:right w:val="nil"/>
          <w:between w:val="nil"/>
        </w:pBdr>
        <w:rPr>
          <w:rFonts w:ascii="Cambria" w:eastAsia="Cambria" w:hAnsi="Cambria" w:cs="Cambria"/>
          <w:color w:val="000000"/>
        </w:rPr>
      </w:pPr>
    </w:p>
    <w:p w14:paraId="0000012B" w14:textId="18FFA142"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i/>
          <w:color w:val="000000"/>
          <w:u w:val="single"/>
        </w:rPr>
        <w:t>Director of Clinical Training (DCT)</w:t>
      </w:r>
      <w:r>
        <w:rPr>
          <w:rFonts w:ascii="Cambria" w:eastAsia="Cambria" w:hAnsi="Cambria" w:cs="Cambria"/>
          <w:color w:val="000000"/>
        </w:rPr>
        <w:t xml:space="preserve"> - The Director of Clinical Training plays an important role in guiding the clinical program and in exploring procedures and options for providing better clinical training. Our </w:t>
      </w:r>
      <w:r w:rsidR="009E0221">
        <w:rPr>
          <w:rFonts w:ascii="Cambria" w:eastAsia="Cambria" w:hAnsi="Cambria" w:cs="Cambria"/>
          <w:color w:val="000000"/>
        </w:rPr>
        <w:t>co-</w:t>
      </w:r>
      <w:r>
        <w:rPr>
          <w:rFonts w:ascii="Cambria" w:eastAsia="Cambria" w:hAnsi="Cambria" w:cs="Cambria"/>
          <w:color w:val="000000"/>
        </w:rPr>
        <w:t>DCT</w:t>
      </w:r>
      <w:r w:rsidR="009E0221">
        <w:rPr>
          <w:rFonts w:ascii="Cambria" w:eastAsia="Cambria" w:hAnsi="Cambria" w:cs="Cambria"/>
          <w:color w:val="000000"/>
        </w:rPr>
        <w:t>s</w:t>
      </w:r>
      <w:r>
        <w:rPr>
          <w:rFonts w:ascii="Cambria" w:eastAsia="Cambria" w:hAnsi="Cambria" w:cs="Cambria"/>
          <w:color w:val="000000"/>
        </w:rPr>
        <w:t>, as of Fall 202</w:t>
      </w:r>
      <w:r w:rsidR="009E0221">
        <w:rPr>
          <w:rFonts w:ascii="Cambria" w:eastAsia="Cambria" w:hAnsi="Cambria" w:cs="Cambria"/>
          <w:color w:val="000000"/>
        </w:rPr>
        <w:t>4</w:t>
      </w:r>
      <w:r>
        <w:rPr>
          <w:rFonts w:ascii="Cambria" w:eastAsia="Cambria" w:hAnsi="Cambria" w:cs="Cambria"/>
          <w:color w:val="000000"/>
        </w:rPr>
        <w:t xml:space="preserve">, </w:t>
      </w:r>
      <w:r w:rsidR="009E0221">
        <w:rPr>
          <w:rFonts w:ascii="Cambria" w:eastAsia="Cambria" w:hAnsi="Cambria" w:cs="Cambria"/>
          <w:color w:val="000000"/>
        </w:rPr>
        <w:t xml:space="preserve">are </w:t>
      </w:r>
      <w:r>
        <w:rPr>
          <w:rFonts w:ascii="Cambria" w:eastAsia="Cambria" w:hAnsi="Cambria" w:cs="Cambria"/>
          <w:color w:val="000000"/>
        </w:rPr>
        <w:t>Professor</w:t>
      </w:r>
      <w:r w:rsidR="009E0221">
        <w:rPr>
          <w:rFonts w:ascii="Cambria" w:eastAsia="Cambria" w:hAnsi="Cambria" w:cs="Cambria"/>
          <w:color w:val="000000"/>
        </w:rPr>
        <w:t>s Barry Farber and Lena Verdeli</w:t>
      </w:r>
      <w:r>
        <w:rPr>
          <w:rFonts w:ascii="Cambria" w:eastAsia="Cambria" w:hAnsi="Cambria" w:cs="Cambria"/>
          <w:color w:val="000000"/>
        </w:rPr>
        <w:t xml:space="preserve">. </w:t>
      </w:r>
      <w:r w:rsidR="009E0221">
        <w:rPr>
          <w:rFonts w:ascii="Cambria" w:eastAsia="Cambria" w:hAnsi="Cambria" w:cs="Cambria"/>
          <w:color w:val="000000"/>
        </w:rPr>
        <w:t xml:space="preserve">They  </w:t>
      </w:r>
      <w:r>
        <w:rPr>
          <w:rFonts w:ascii="Cambria" w:eastAsia="Cambria" w:hAnsi="Cambria" w:cs="Cambria"/>
          <w:color w:val="000000"/>
        </w:rPr>
        <w:t xml:space="preserve">work in close cooperation with the Department Chair in attaining these goals. Generally, the DCT is responsible for and plays an active role in the following areas:  </w:t>
      </w:r>
    </w:p>
    <w:p w14:paraId="0000012C" w14:textId="77777777" w:rsidR="00CD3527" w:rsidRDefault="007F4AED">
      <w:pPr>
        <w:numPr>
          <w:ilvl w:val="0"/>
          <w:numId w:val="53"/>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seeking sectional training grants such as NIMH grants, and carrying out the day-to-day activities involved in administering such grants as needed; </w:t>
      </w:r>
    </w:p>
    <w:p w14:paraId="0000012D" w14:textId="77777777" w:rsidR="00CD3527" w:rsidRDefault="007F4AED">
      <w:pPr>
        <w:numPr>
          <w:ilvl w:val="0"/>
          <w:numId w:val="53"/>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writing the annual APA report and coordinating the periodic self-study report for re-accreditation; </w:t>
      </w:r>
    </w:p>
    <w:p w14:paraId="0000012E" w14:textId="77777777" w:rsidR="00CD3527" w:rsidRDefault="007F4AED">
      <w:pPr>
        <w:numPr>
          <w:ilvl w:val="0"/>
          <w:numId w:val="53"/>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making contacts with university and non-university agencies (local, state, regional, federal) for research and training experiences and for funding arrangements that may support graduate training; helping foster interagency contacts for practicum experiences; </w:t>
      </w:r>
    </w:p>
    <w:p w14:paraId="0000012F" w14:textId="21DA0DB6" w:rsidR="00CD3527" w:rsidRDefault="007F4AED">
      <w:pPr>
        <w:numPr>
          <w:ilvl w:val="0"/>
          <w:numId w:val="53"/>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lastRenderedPageBreak/>
        <w:t xml:space="preserve">providing effective day-to-day management of Clinical activities such as policy decisions and curriculum planning; conducting student evaluations; scheduling and conducting Clinical </w:t>
      </w:r>
      <w:r w:rsidR="0052419F">
        <w:rPr>
          <w:rFonts w:ascii="Cambria" w:eastAsia="Cambria" w:hAnsi="Cambria" w:cs="Cambria"/>
          <w:color w:val="000000"/>
        </w:rPr>
        <w:t xml:space="preserve">program </w:t>
      </w:r>
      <w:r>
        <w:rPr>
          <w:rFonts w:ascii="Cambria" w:eastAsia="Cambria" w:hAnsi="Cambria" w:cs="Cambria"/>
          <w:color w:val="000000"/>
        </w:rPr>
        <w:t xml:space="preserve">meetings and writing up and distributing summaries of these meetings; </w:t>
      </w:r>
    </w:p>
    <w:p w14:paraId="00000130" w14:textId="77777777" w:rsidR="00CD3527" w:rsidRDefault="007F4AED">
      <w:pPr>
        <w:numPr>
          <w:ilvl w:val="0"/>
          <w:numId w:val="53"/>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verifying students’ internship eligibility and readiness and corresponding with internship agencies about internship placement and experience; </w:t>
      </w:r>
    </w:p>
    <w:p w14:paraId="00000131" w14:textId="77777777" w:rsidR="00CD3527" w:rsidRDefault="007F4AED">
      <w:pPr>
        <w:numPr>
          <w:ilvl w:val="0"/>
          <w:numId w:val="53"/>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monitoring clinical graduate students’ traineeship placements; </w:t>
      </w:r>
    </w:p>
    <w:p w14:paraId="00000132" w14:textId="77777777" w:rsidR="00CD3527" w:rsidRDefault="007F4AED">
      <w:pPr>
        <w:numPr>
          <w:ilvl w:val="0"/>
          <w:numId w:val="53"/>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coordinating with APA and granting agency evaluation teams; </w:t>
      </w:r>
    </w:p>
    <w:p w14:paraId="00000133" w14:textId="77777777" w:rsidR="00CD3527" w:rsidRDefault="007F4AED">
      <w:pPr>
        <w:numPr>
          <w:ilvl w:val="0"/>
          <w:numId w:val="53"/>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conferring with the Department Chair about matters relevant to the clinical program such as scheduling flow and sequencing problems; </w:t>
      </w:r>
    </w:p>
    <w:p w14:paraId="00000134" w14:textId="77777777" w:rsidR="00CD3527" w:rsidRDefault="007F4AED">
      <w:pPr>
        <w:numPr>
          <w:ilvl w:val="0"/>
          <w:numId w:val="53"/>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conducting committee elections or appointing minor or ad hoc committees; following up on committees, trying to stimulate committee action; </w:t>
      </w:r>
    </w:p>
    <w:p w14:paraId="00000135" w14:textId="77777777" w:rsidR="00CD3527" w:rsidRDefault="007F4AED">
      <w:pPr>
        <w:numPr>
          <w:ilvl w:val="0"/>
          <w:numId w:val="53"/>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carrying out faculty duties consistent with the training program’s goals; </w:t>
      </w:r>
    </w:p>
    <w:p w14:paraId="00000136" w14:textId="77777777" w:rsidR="00CD3527" w:rsidRDefault="007F4AED">
      <w:pPr>
        <w:numPr>
          <w:ilvl w:val="0"/>
          <w:numId w:val="53"/>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being responsible for annual review and update of the Clinical Graduate Student Handbook; </w:t>
      </w:r>
    </w:p>
    <w:p w14:paraId="00000137" w14:textId="77777777" w:rsidR="00CD3527" w:rsidRDefault="007F4AED">
      <w:pPr>
        <w:numPr>
          <w:ilvl w:val="0"/>
          <w:numId w:val="53"/>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responding to research questionnaires and communiques regarding various training issues received from APA, APPIC, etc., as well as numerous committee groups and individual researchers nationwide.</w:t>
      </w:r>
    </w:p>
    <w:p w14:paraId="00000138" w14:textId="77777777" w:rsidR="00CD3527" w:rsidRDefault="00CD3527">
      <w:pPr>
        <w:pBdr>
          <w:top w:val="nil"/>
          <w:left w:val="nil"/>
          <w:bottom w:val="nil"/>
          <w:right w:val="nil"/>
          <w:between w:val="nil"/>
        </w:pBdr>
        <w:rPr>
          <w:rFonts w:ascii="Cambria" w:eastAsia="Cambria" w:hAnsi="Cambria" w:cs="Cambria"/>
          <w:color w:val="000000"/>
        </w:rPr>
      </w:pPr>
    </w:p>
    <w:p w14:paraId="00000139"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i/>
          <w:color w:val="000000"/>
          <w:u w:val="single"/>
        </w:rPr>
        <w:t>Training Clinic Director</w:t>
      </w:r>
      <w:r>
        <w:rPr>
          <w:rFonts w:ascii="Cambria" w:eastAsia="Cambria" w:hAnsi="Cambria" w:cs="Cambria"/>
          <w:color w:val="000000"/>
        </w:rPr>
        <w:t xml:space="preserve"> - The Clinic Director (of DHCEPS) plays an important role in ensuring that students receive appropriate and strong clinical training. Our current Clinic Director is Dr. Dinelia Rosa, Ph.D. She provides clinical consultation as needed, crisis intervention support, consultation with legal and ethical experts as needed, oversight for the day-to-day functioning of the clinic, and manages students’ clinical practica and supervisory experiences. She works in close cooperation with the DCT in monitoring the progress and clinical training of the students.</w:t>
      </w:r>
    </w:p>
    <w:p w14:paraId="0000013A" w14:textId="77777777" w:rsidR="00CD3527" w:rsidRDefault="00CD3527">
      <w:pPr>
        <w:pBdr>
          <w:top w:val="nil"/>
          <w:left w:val="nil"/>
          <w:bottom w:val="nil"/>
          <w:right w:val="nil"/>
          <w:between w:val="nil"/>
        </w:pBdr>
        <w:rPr>
          <w:rFonts w:ascii="Cambria" w:eastAsia="Cambria" w:hAnsi="Cambria" w:cs="Cambria"/>
          <w:color w:val="000000"/>
        </w:rPr>
      </w:pPr>
    </w:p>
    <w:p w14:paraId="0000013B" w14:textId="3665BF1D"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i/>
          <w:color w:val="000000"/>
          <w:u w:val="single"/>
        </w:rPr>
        <w:t>College Ombuds</w:t>
      </w:r>
      <w:r>
        <w:rPr>
          <w:rFonts w:ascii="Cambria" w:eastAsia="Cambria" w:hAnsi="Cambria" w:cs="Cambria"/>
          <w:color w:val="000000"/>
        </w:rPr>
        <w:t xml:space="preserve"> – As noted above, the College Ombuds is a resource available to students, faculty, and staff for resolving problems and conflicts. Members of the College community can use the services of the Office when they need assistance or advice, or after other efforts have not succeeded.  The Office provides information and explains options for resolving a wide range of problems and rectifying many situations affecting the academic or work life of members of the College community. The Ombuds responds to all concerns and continually works for a satisfactory outcome for all parties involved in a situation. The work of the Office is confidential, impartial, independent, and informal. Our general College Ombuds is currently Stephen Peverly, Ph.D. (</w:t>
      </w:r>
      <w:hyperlink r:id="rId20">
        <w:r>
          <w:rPr>
            <w:rFonts w:ascii="Cambria" w:eastAsia="Cambria" w:hAnsi="Cambria" w:cs="Cambria"/>
            <w:color w:val="0000FF"/>
            <w:u w:val="single"/>
          </w:rPr>
          <w:t>ombus@tc.columbia.edu</w:t>
        </w:r>
      </w:hyperlink>
      <w:r>
        <w:rPr>
          <w:rFonts w:ascii="Cambria" w:eastAsia="Cambria" w:hAnsi="Cambria" w:cs="Cambria"/>
          <w:color w:val="000000"/>
        </w:rPr>
        <w:t>).</w:t>
      </w:r>
    </w:p>
    <w:p w14:paraId="78617FB7" w14:textId="4F6D9AEC" w:rsidR="003819AA" w:rsidRDefault="003819AA">
      <w:pPr>
        <w:pBdr>
          <w:top w:val="nil"/>
          <w:left w:val="nil"/>
          <w:bottom w:val="nil"/>
          <w:right w:val="nil"/>
          <w:between w:val="nil"/>
        </w:pBdr>
        <w:rPr>
          <w:rFonts w:ascii="Cambria" w:eastAsia="Cambria" w:hAnsi="Cambria" w:cs="Cambria"/>
          <w:color w:val="000000"/>
        </w:rPr>
      </w:pPr>
    </w:p>
    <w:p w14:paraId="3ADD2AEC" w14:textId="51C47BBF" w:rsidR="003819AA" w:rsidRDefault="003819AA">
      <w:pPr>
        <w:pBdr>
          <w:top w:val="nil"/>
          <w:left w:val="nil"/>
          <w:bottom w:val="nil"/>
          <w:right w:val="nil"/>
          <w:between w:val="nil"/>
        </w:pBdr>
        <w:rPr>
          <w:rFonts w:ascii="Cambria" w:eastAsia="Cambria" w:hAnsi="Cambria" w:cs="Cambria"/>
          <w:color w:val="000000"/>
        </w:rPr>
      </w:pPr>
    </w:p>
    <w:p w14:paraId="79CC2A52" w14:textId="2880871F" w:rsidR="003819AA" w:rsidRDefault="003819AA">
      <w:pPr>
        <w:pBdr>
          <w:top w:val="nil"/>
          <w:left w:val="nil"/>
          <w:bottom w:val="nil"/>
          <w:right w:val="nil"/>
          <w:between w:val="nil"/>
        </w:pBdr>
        <w:rPr>
          <w:rFonts w:ascii="Cambria" w:eastAsia="Cambria" w:hAnsi="Cambria" w:cs="Cambria"/>
          <w:color w:val="000000"/>
        </w:rPr>
      </w:pPr>
    </w:p>
    <w:p w14:paraId="65CC8980" w14:textId="72C3DA26" w:rsidR="003819AA" w:rsidRDefault="003819AA">
      <w:pPr>
        <w:pBdr>
          <w:top w:val="nil"/>
          <w:left w:val="nil"/>
          <w:bottom w:val="nil"/>
          <w:right w:val="nil"/>
          <w:between w:val="nil"/>
        </w:pBdr>
        <w:rPr>
          <w:rFonts w:ascii="Cambria" w:eastAsia="Cambria" w:hAnsi="Cambria" w:cs="Cambria"/>
          <w:color w:val="000000"/>
        </w:rPr>
      </w:pPr>
    </w:p>
    <w:p w14:paraId="5E94DE29" w14:textId="101BBC90" w:rsidR="003819AA" w:rsidRDefault="003819AA">
      <w:pPr>
        <w:pBdr>
          <w:top w:val="nil"/>
          <w:left w:val="nil"/>
          <w:bottom w:val="nil"/>
          <w:right w:val="nil"/>
          <w:between w:val="nil"/>
        </w:pBdr>
        <w:rPr>
          <w:rFonts w:ascii="Cambria" w:eastAsia="Cambria" w:hAnsi="Cambria" w:cs="Cambria"/>
          <w:color w:val="000000"/>
        </w:rPr>
      </w:pPr>
    </w:p>
    <w:p w14:paraId="131DA8D9" w14:textId="77777777" w:rsidR="003819AA" w:rsidRDefault="003819AA">
      <w:pPr>
        <w:pBdr>
          <w:top w:val="nil"/>
          <w:left w:val="nil"/>
          <w:bottom w:val="nil"/>
          <w:right w:val="nil"/>
          <w:between w:val="nil"/>
        </w:pBdr>
        <w:rPr>
          <w:rFonts w:ascii="Cambria" w:eastAsia="Cambria" w:hAnsi="Cambria" w:cs="Cambria"/>
          <w:color w:val="000000"/>
        </w:rPr>
      </w:pPr>
    </w:p>
    <w:p w14:paraId="0000013C" w14:textId="77777777" w:rsidR="00CD3527" w:rsidRDefault="007F4AED">
      <w:pPr>
        <w:pStyle w:val="Heading1"/>
      </w:pPr>
      <w:bookmarkStart w:id="28" w:name="_heading=h.2bn6wsx" w:colFirst="0" w:colLast="0"/>
      <w:bookmarkEnd w:id="28"/>
      <w:r>
        <w:lastRenderedPageBreak/>
        <w:t>Helpful Hints for Making Life Easier for Yourself and Others</w:t>
      </w:r>
    </w:p>
    <w:p w14:paraId="0000013D" w14:textId="77777777" w:rsidR="00CD3527" w:rsidRDefault="00CD3527">
      <w:pPr>
        <w:pBdr>
          <w:top w:val="nil"/>
          <w:left w:val="nil"/>
          <w:bottom w:val="nil"/>
          <w:right w:val="nil"/>
          <w:between w:val="nil"/>
        </w:pBdr>
        <w:tabs>
          <w:tab w:val="left" w:pos="980"/>
          <w:tab w:val="left" w:pos="2160"/>
          <w:tab w:val="left" w:pos="2960"/>
          <w:tab w:val="left" w:pos="3780"/>
          <w:tab w:val="left" w:pos="7200"/>
          <w:tab w:val="left" w:pos="8000"/>
          <w:tab w:val="left" w:pos="8360"/>
          <w:tab w:val="left" w:pos="8639"/>
        </w:tabs>
        <w:rPr>
          <w:rFonts w:ascii="Cambria" w:eastAsia="Cambria" w:hAnsi="Cambria" w:cs="Cambria"/>
          <w:color w:val="000000"/>
        </w:rPr>
      </w:pPr>
    </w:p>
    <w:p w14:paraId="0000013E" w14:textId="454CC374"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1. Be familiar with the contents of this Handbook, the manual of the Dean Hope Center, and the relevant sections of the TC Catalog. It is, in fact, obligatory, for you to be knowledgeable about the Ethical Principles of Psychologists and the Guidelines on Multicultural Education, Training, Research, Practice, and Organizational Change for Psychologists (See back pages of this Handbook for copies of both). Be aware, too, of deadlines for assignments, projects (e.g., Second-</w:t>
      </w:r>
      <w:r w:rsidR="00DA169F">
        <w:rPr>
          <w:rFonts w:ascii="Cambria" w:eastAsia="Cambria" w:hAnsi="Cambria" w:cs="Cambria"/>
          <w:color w:val="000000"/>
        </w:rPr>
        <w:t>Y</w:t>
      </w:r>
      <w:r>
        <w:rPr>
          <w:rFonts w:ascii="Cambria" w:eastAsia="Cambria" w:hAnsi="Cambria" w:cs="Cambria"/>
          <w:color w:val="000000"/>
        </w:rPr>
        <w:t>ear Project), and applications (e.g., for proposal hearings, externships, and internships).</w:t>
      </w:r>
    </w:p>
    <w:p w14:paraId="0000013F" w14:textId="77777777" w:rsidR="00CD3527" w:rsidRDefault="00CD3527">
      <w:pPr>
        <w:pBdr>
          <w:top w:val="nil"/>
          <w:left w:val="nil"/>
          <w:bottom w:val="nil"/>
          <w:right w:val="nil"/>
          <w:between w:val="nil"/>
        </w:pBdr>
        <w:rPr>
          <w:rFonts w:ascii="Cambria" w:eastAsia="Cambria" w:hAnsi="Cambria" w:cs="Cambria"/>
          <w:color w:val="000000"/>
        </w:rPr>
      </w:pPr>
    </w:p>
    <w:p w14:paraId="00000140" w14:textId="2CF305CB"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2. Plan a large span of uninterrupted time each week for your independent (lab-related) research to ensure that you keep up the momentum of your scholarship. Long stretches of time are typically necessary to develop ideas, write up results of studies, and master use of data sets.  Often the greatest mistake students make is building a schedule without regard for the need for extended and uninterrupted scholarly time.</w:t>
      </w:r>
    </w:p>
    <w:p w14:paraId="00000141" w14:textId="77777777" w:rsidR="00CD3527" w:rsidRDefault="00CD3527">
      <w:pPr>
        <w:pBdr>
          <w:top w:val="nil"/>
          <w:left w:val="nil"/>
          <w:bottom w:val="nil"/>
          <w:right w:val="nil"/>
          <w:between w:val="nil"/>
        </w:pBdr>
        <w:rPr>
          <w:rFonts w:ascii="Cambria" w:eastAsia="Cambria" w:hAnsi="Cambria" w:cs="Cambria"/>
          <w:color w:val="000000"/>
        </w:rPr>
      </w:pPr>
    </w:p>
    <w:p w14:paraId="00000142" w14:textId="77777777" w:rsidR="00CD3527" w:rsidRDefault="007F4AED">
      <w:pPr>
        <w:pBdr>
          <w:top w:val="nil"/>
          <w:left w:val="nil"/>
          <w:bottom w:val="nil"/>
          <w:right w:val="nil"/>
          <w:between w:val="nil"/>
        </w:pBdr>
        <w:jc w:val="center"/>
        <w:rPr>
          <w:rFonts w:ascii="Cambria" w:eastAsia="Cambria" w:hAnsi="Cambria" w:cs="Cambria"/>
          <w:b/>
          <w:color w:val="000000"/>
          <w:sz w:val="28"/>
          <w:szCs w:val="28"/>
        </w:rPr>
      </w:pPr>
      <w:r>
        <w:rPr>
          <w:rFonts w:ascii="Cambria" w:eastAsia="Cambria" w:hAnsi="Cambria" w:cs="Cambria"/>
          <w:b/>
          <w:color w:val="000000"/>
          <w:sz w:val="28"/>
          <w:szCs w:val="28"/>
        </w:rPr>
        <w:t>Mandatory Paperwork &amp; Professional Code of Conduct</w:t>
      </w:r>
    </w:p>
    <w:p w14:paraId="00000143" w14:textId="77777777" w:rsidR="00CD3527" w:rsidRDefault="00CD3527">
      <w:pPr>
        <w:pBdr>
          <w:top w:val="nil"/>
          <w:left w:val="nil"/>
          <w:bottom w:val="nil"/>
          <w:right w:val="nil"/>
          <w:between w:val="nil"/>
        </w:pBdr>
        <w:rPr>
          <w:rFonts w:ascii="Cambria" w:eastAsia="Cambria" w:hAnsi="Cambria" w:cs="Cambria"/>
          <w:color w:val="000000"/>
        </w:rPr>
      </w:pPr>
    </w:p>
    <w:p w14:paraId="00000144"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b/>
          <w:color w:val="000000"/>
        </w:rPr>
        <w:t xml:space="preserve">DHCEPS REQUIREMENTS: </w:t>
      </w:r>
    </w:p>
    <w:p w14:paraId="00000145"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3.</w:t>
      </w:r>
      <w:r>
        <w:rPr>
          <w:rFonts w:ascii="Cambria" w:eastAsia="Cambria" w:hAnsi="Cambria" w:cs="Cambria"/>
          <w:b/>
          <w:color w:val="000000"/>
        </w:rPr>
        <w:t xml:space="preserve"> </w:t>
      </w:r>
      <w:r>
        <w:rPr>
          <w:rFonts w:ascii="Cambria" w:eastAsia="Cambria" w:hAnsi="Cambria" w:cs="Cambria"/>
          <w:color w:val="000000"/>
        </w:rPr>
        <w:t xml:space="preserve">Paperwork, while often onerous, is necessary. It is extremely important to keep patient records at the Dean Hope Center current. The rules of The New York State Board of Regents state that, "failing to maintain a record of each patient which accurately reflects the evaluation and treatment of the patient" denotes "unprofessional conduct" (Section 29.2a). </w:t>
      </w:r>
    </w:p>
    <w:p w14:paraId="00000146" w14:textId="77777777" w:rsidR="00CD3527" w:rsidRDefault="00CD3527">
      <w:pPr>
        <w:pBdr>
          <w:top w:val="nil"/>
          <w:left w:val="nil"/>
          <w:bottom w:val="nil"/>
          <w:right w:val="nil"/>
          <w:between w:val="nil"/>
        </w:pBdr>
        <w:rPr>
          <w:rFonts w:ascii="Cambria" w:eastAsia="Cambria" w:hAnsi="Cambria" w:cs="Cambria"/>
          <w:color w:val="000000"/>
        </w:rPr>
      </w:pPr>
    </w:p>
    <w:p w14:paraId="00000147"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3a. Check your mailboxes at the Dean Hope Center and the Clinical Office; check email frequently. Report any changes in telephone numbers, email addresses, or home address as soon as possible to the administrative staff in the clinical office (currently Rebecca Shulevitz) and the Dean Hope Center.</w:t>
      </w:r>
    </w:p>
    <w:p w14:paraId="00000148" w14:textId="77777777" w:rsidR="00CD3527" w:rsidRDefault="00CD3527">
      <w:pPr>
        <w:pBdr>
          <w:top w:val="nil"/>
          <w:left w:val="nil"/>
          <w:bottom w:val="nil"/>
          <w:right w:val="nil"/>
          <w:between w:val="nil"/>
        </w:pBdr>
        <w:rPr>
          <w:rFonts w:ascii="Cambria" w:eastAsia="Cambria" w:hAnsi="Cambria" w:cs="Cambria"/>
          <w:color w:val="000000"/>
        </w:rPr>
      </w:pPr>
    </w:p>
    <w:p w14:paraId="00000149"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3b. Remember that confidentiality concerning your clients is an </w:t>
      </w:r>
      <w:r>
        <w:rPr>
          <w:rFonts w:ascii="Cambria" w:eastAsia="Cambria" w:hAnsi="Cambria" w:cs="Cambria"/>
          <w:color w:val="000000"/>
          <w:u w:val="single"/>
        </w:rPr>
        <w:t>absolute requirement</w:t>
      </w:r>
      <w:r>
        <w:rPr>
          <w:rFonts w:ascii="Cambria" w:eastAsia="Cambria" w:hAnsi="Cambria" w:cs="Cambria"/>
          <w:color w:val="000000"/>
        </w:rPr>
        <w:t xml:space="preserve"> outside of the designated area of the Dean Hope Center and of supervision.</w:t>
      </w:r>
    </w:p>
    <w:p w14:paraId="0000014A" w14:textId="77777777" w:rsidR="00CD3527" w:rsidRDefault="00CD3527">
      <w:pPr>
        <w:pBdr>
          <w:top w:val="nil"/>
          <w:left w:val="nil"/>
          <w:bottom w:val="nil"/>
          <w:right w:val="nil"/>
          <w:between w:val="nil"/>
        </w:pBdr>
        <w:rPr>
          <w:rFonts w:ascii="Cambria" w:eastAsia="Cambria" w:hAnsi="Cambria" w:cs="Cambria"/>
          <w:color w:val="000000"/>
        </w:rPr>
      </w:pPr>
    </w:p>
    <w:p w14:paraId="0000014B" w14:textId="02320F9F"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3c. Contact your clinical supervisor(s) as soon as possible—at most within a week––after being informed of your supervisory assignments; failure to do so may jeopardize this assignment as supervisors’ available time tends to fill up quickly. In a related vein (and as noted in the Dean Hope Center Handbook): </w:t>
      </w:r>
      <w:r>
        <w:rPr>
          <w:rFonts w:ascii="Cambria" w:eastAsia="Cambria" w:hAnsi="Cambria" w:cs="Cambria"/>
          <w:color w:val="000000"/>
          <w:u w:val="single"/>
        </w:rPr>
        <w:t>you may not see clients if you are not being supervised</w:t>
      </w:r>
      <w:r w:rsidR="00511CB8">
        <w:rPr>
          <w:rFonts w:ascii="Cambria" w:eastAsia="Cambria" w:hAnsi="Cambria" w:cs="Cambria"/>
          <w:color w:val="000000"/>
        </w:rPr>
        <w:t xml:space="preserve">, nor may you see clients if you are not registered for a practicum course. </w:t>
      </w:r>
      <w:r>
        <w:rPr>
          <w:rFonts w:ascii="Cambria" w:eastAsia="Cambria" w:hAnsi="Cambria" w:cs="Cambria"/>
          <w:color w:val="000000"/>
        </w:rPr>
        <w:t xml:space="preserve"> Any lapses in supervisory meetings must be reported to the Director of the Clinic (Dr. Rosa). </w:t>
      </w:r>
    </w:p>
    <w:p w14:paraId="0000014C" w14:textId="77777777" w:rsidR="00CD3527" w:rsidRDefault="00CD3527">
      <w:pPr>
        <w:pBdr>
          <w:top w:val="nil"/>
          <w:left w:val="nil"/>
          <w:bottom w:val="nil"/>
          <w:right w:val="nil"/>
          <w:between w:val="nil"/>
        </w:pBdr>
        <w:rPr>
          <w:rFonts w:ascii="Cambria" w:eastAsia="Cambria" w:hAnsi="Cambria" w:cs="Cambria"/>
          <w:color w:val="000000"/>
        </w:rPr>
      </w:pPr>
    </w:p>
    <w:p w14:paraId="0000014D" w14:textId="558DF631"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3d. Be aware that it is likely that newly assigned clients will attempt to find out information about you (“google” you); so may potential externship and internship sites. Thus, be extremely prudent about what you post online; check your privacy settings on social networking sites such as Facebook (see social media policy below), </w:t>
      </w:r>
    </w:p>
    <w:p w14:paraId="0000014E" w14:textId="77777777" w:rsidR="00CD3527" w:rsidRDefault="00CD3527">
      <w:pPr>
        <w:pBdr>
          <w:top w:val="nil"/>
          <w:left w:val="nil"/>
          <w:bottom w:val="nil"/>
          <w:right w:val="nil"/>
          <w:between w:val="nil"/>
        </w:pBdr>
        <w:rPr>
          <w:rFonts w:ascii="Cambria" w:eastAsia="Cambria" w:hAnsi="Cambria" w:cs="Cambria"/>
          <w:color w:val="000000"/>
        </w:rPr>
      </w:pPr>
    </w:p>
    <w:p w14:paraId="0000014F"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b/>
          <w:color w:val="000000"/>
        </w:rPr>
        <w:t>PROGRAM REQUIREMENTS:</w:t>
      </w:r>
      <w:r>
        <w:rPr>
          <w:rFonts w:ascii="Cambria" w:eastAsia="Cambria" w:hAnsi="Cambria" w:cs="Cambria"/>
          <w:color w:val="000000"/>
        </w:rPr>
        <w:t xml:space="preserve"> </w:t>
      </w:r>
    </w:p>
    <w:p w14:paraId="00000150"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4. It is your responsibility to keep your student e-folder updated – this is housed within the department with Ms. Rebecca Shulevitz, the program’s secretary. There are multiple forms that need to be filed in your folder (see copies at end of this Handbook) including: </w:t>
      </w:r>
    </w:p>
    <w:p w14:paraId="00000151"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4a. annual student evaluation form (to be completed by your advisor and then reviewed together at the end of each academic year); </w:t>
      </w:r>
    </w:p>
    <w:p w14:paraId="00000152" w14:textId="519F5A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4b. CITI training certificate</w:t>
      </w:r>
      <w:r w:rsidR="002A7462">
        <w:rPr>
          <w:rFonts w:ascii="Cambria" w:eastAsia="Cambria" w:hAnsi="Cambria" w:cs="Cambria"/>
          <w:color w:val="000000"/>
        </w:rPr>
        <w:t>;</w:t>
      </w:r>
    </w:p>
    <w:p w14:paraId="00000153" w14:textId="713E3C3E"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4c. mandated Reporter Training (completed in your first semester as part of the Ethical and Professional Issues in Clinical Psychology coursework)</w:t>
      </w:r>
      <w:r w:rsidR="002A7462">
        <w:rPr>
          <w:rFonts w:ascii="Cambria" w:eastAsia="Cambria" w:hAnsi="Cambria" w:cs="Cambria"/>
          <w:color w:val="000000"/>
        </w:rPr>
        <w:t>;</w:t>
      </w:r>
    </w:p>
    <w:p w14:paraId="00000154" w14:textId="3A087DE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4d. academic transcript</w:t>
      </w:r>
      <w:r w:rsidR="002A7462">
        <w:rPr>
          <w:rFonts w:ascii="Cambria" w:eastAsia="Cambria" w:hAnsi="Cambria" w:cs="Cambria"/>
          <w:color w:val="000000"/>
        </w:rPr>
        <w:t>;</w:t>
      </w:r>
    </w:p>
    <w:p w14:paraId="00000155"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4e. clinical practicum training evaluation form (to be completed by each clinical supervisor you’ve had during a given academic year); </w:t>
      </w:r>
    </w:p>
    <w:p w14:paraId="00000156"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4f. case conference evaluation form (completed by faculty following your presentation); </w:t>
      </w:r>
    </w:p>
    <w:p w14:paraId="00000157"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4g. CERT research presentation evaluation forms (completed by faculty following your presentation at colloquium); </w:t>
      </w:r>
    </w:p>
    <w:p w14:paraId="00000158"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4h. letters of externship acceptance and completion; </w:t>
      </w:r>
    </w:p>
    <w:p w14:paraId="00000159"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4i. letters of internship acceptance and completion; </w:t>
      </w:r>
    </w:p>
    <w:p w14:paraId="0000015A"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4j. externship evaluation; and </w:t>
      </w:r>
    </w:p>
    <w:p w14:paraId="0000015B"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4k. internship evaluation. </w:t>
      </w:r>
    </w:p>
    <w:p w14:paraId="0000015C" w14:textId="77777777" w:rsidR="00CD3527" w:rsidRDefault="00CD3527">
      <w:pPr>
        <w:pBdr>
          <w:top w:val="nil"/>
          <w:left w:val="nil"/>
          <w:bottom w:val="nil"/>
          <w:right w:val="nil"/>
          <w:between w:val="nil"/>
        </w:pBdr>
        <w:rPr>
          <w:rFonts w:ascii="Cambria" w:eastAsia="Cambria" w:hAnsi="Cambria" w:cs="Cambria"/>
          <w:color w:val="000000"/>
        </w:rPr>
      </w:pPr>
    </w:p>
    <w:p w14:paraId="0000015D" w14:textId="422A8ED1"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In addition, it is your responsibility to provide our Administrative Assistant (Rebecca Schulevitz) copies of your completed Second-</w:t>
      </w:r>
      <w:r w:rsidR="00DA169F">
        <w:rPr>
          <w:rFonts w:ascii="Cambria" w:eastAsia="Cambria" w:hAnsi="Cambria" w:cs="Cambria"/>
          <w:color w:val="000000"/>
        </w:rPr>
        <w:t>Y</w:t>
      </w:r>
      <w:r>
        <w:rPr>
          <w:rFonts w:ascii="Cambria" w:eastAsia="Cambria" w:hAnsi="Cambria" w:cs="Cambria"/>
          <w:color w:val="000000"/>
        </w:rPr>
        <w:t>ear Project and Dissertation Proposal, each of which will be filed electronically. Finally, if you have presented a paper at a professional conference or published a paper in a professional journal—either as sole author or co-author—provide Rebecca with a</w:t>
      </w:r>
      <w:r w:rsidR="007B1994">
        <w:rPr>
          <w:rFonts w:ascii="Cambria" w:eastAsia="Cambria" w:hAnsi="Cambria" w:cs="Cambria"/>
          <w:color w:val="000000"/>
        </w:rPr>
        <w:t>n</w:t>
      </w:r>
      <w:r>
        <w:rPr>
          <w:rFonts w:ascii="Cambria" w:eastAsia="Cambria" w:hAnsi="Cambria" w:cs="Cambria"/>
          <w:color w:val="000000"/>
        </w:rPr>
        <w:t xml:space="preserve"> e-copy. </w:t>
      </w:r>
    </w:p>
    <w:p w14:paraId="0000015E" w14:textId="77777777" w:rsidR="00CD3527" w:rsidRDefault="00CD3527">
      <w:pPr>
        <w:pBdr>
          <w:top w:val="nil"/>
          <w:left w:val="nil"/>
          <w:bottom w:val="nil"/>
          <w:right w:val="nil"/>
          <w:between w:val="nil"/>
        </w:pBdr>
        <w:rPr>
          <w:rFonts w:ascii="Cambria" w:eastAsia="Cambria" w:hAnsi="Cambria" w:cs="Cambria"/>
          <w:color w:val="000000"/>
        </w:rPr>
      </w:pPr>
    </w:p>
    <w:p w14:paraId="0000015F"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b/>
          <w:color w:val="FF0000"/>
        </w:rPr>
        <w:t>NOTE:</w:t>
      </w:r>
      <w:r>
        <w:rPr>
          <w:rFonts w:ascii="Cambria" w:eastAsia="Cambria" w:hAnsi="Cambria" w:cs="Cambria"/>
          <w:color w:val="000000"/>
        </w:rPr>
        <w:t xml:space="preserve"> Your file is available only to you and you have access to only your file. Under </w:t>
      </w:r>
      <w:r>
        <w:rPr>
          <w:rFonts w:ascii="Cambria" w:eastAsia="Cambria" w:hAnsi="Cambria" w:cs="Cambria"/>
          <w:color w:val="000000"/>
          <w:u w:val="single"/>
        </w:rPr>
        <w:t>no</w:t>
      </w:r>
      <w:r>
        <w:rPr>
          <w:rFonts w:ascii="Cambria" w:eastAsia="Cambria" w:hAnsi="Cambria" w:cs="Cambria"/>
          <w:color w:val="000000"/>
        </w:rPr>
        <w:t xml:space="preserve"> conditions is another student's file available to you. </w:t>
      </w:r>
    </w:p>
    <w:p w14:paraId="00000160" w14:textId="77777777" w:rsidR="00CD3527" w:rsidRDefault="00CD3527">
      <w:pPr>
        <w:pBdr>
          <w:top w:val="nil"/>
          <w:left w:val="nil"/>
          <w:bottom w:val="nil"/>
          <w:right w:val="nil"/>
          <w:between w:val="nil"/>
        </w:pBdr>
        <w:rPr>
          <w:rFonts w:ascii="Cambria" w:eastAsia="Cambria" w:hAnsi="Cambria" w:cs="Cambria"/>
          <w:color w:val="000000"/>
        </w:rPr>
      </w:pPr>
    </w:p>
    <w:p w14:paraId="00000161"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b/>
          <w:color w:val="000000"/>
        </w:rPr>
        <w:t xml:space="preserve">DUE DILIGENCE: </w:t>
      </w:r>
    </w:p>
    <w:p w14:paraId="00000162"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5.</w:t>
      </w:r>
      <w:r>
        <w:rPr>
          <w:rFonts w:ascii="Cambria" w:eastAsia="Cambria" w:hAnsi="Cambria" w:cs="Cambria"/>
          <w:b/>
          <w:color w:val="000000"/>
        </w:rPr>
        <w:t xml:space="preserve"> </w:t>
      </w:r>
      <w:r>
        <w:rPr>
          <w:rFonts w:ascii="Cambria" w:eastAsia="Cambria" w:hAnsi="Cambria" w:cs="Cambria"/>
          <w:color w:val="000000"/>
        </w:rPr>
        <w:t xml:space="preserve">Purchase the </w:t>
      </w:r>
      <w:r>
        <w:rPr>
          <w:rFonts w:ascii="Cambria" w:eastAsia="Cambria" w:hAnsi="Cambria" w:cs="Cambria"/>
          <w:i/>
          <w:color w:val="000000"/>
        </w:rPr>
        <w:t>Publication Manual of the American Psychological Association</w:t>
      </w:r>
      <w:r>
        <w:rPr>
          <w:rFonts w:ascii="Cambria" w:eastAsia="Cambria" w:hAnsi="Cambria" w:cs="Cambria"/>
          <w:color w:val="000000"/>
        </w:rPr>
        <w:t xml:space="preserve"> (7</w:t>
      </w:r>
      <w:r>
        <w:rPr>
          <w:rFonts w:ascii="Cambria" w:eastAsia="Cambria" w:hAnsi="Cambria" w:cs="Cambria"/>
          <w:color w:val="000000"/>
          <w:vertAlign w:val="superscript"/>
        </w:rPr>
        <w:t>th</w:t>
      </w:r>
      <w:r>
        <w:rPr>
          <w:rFonts w:ascii="Cambria" w:eastAsia="Cambria" w:hAnsi="Cambria" w:cs="Cambria"/>
          <w:color w:val="000000"/>
        </w:rPr>
        <w:t xml:space="preserve"> Edition, 2019). It provides the basis for organization, style, grammar, and referencing of all written work for courses and projects. </w:t>
      </w:r>
    </w:p>
    <w:p w14:paraId="00000163" w14:textId="77777777" w:rsidR="00CD3527" w:rsidRDefault="00CD3527">
      <w:pPr>
        <w:pBdr>
          <w:top w:val="nil"/>
          <w:left w:val="nil"/>
          <w:bottom w:val="nil"/>
          <w:right w:val="nil"/>
          <w:between w:val="nil"/>
        </w:pBdr>
        <w:rPr>
          <w:rFonts w:ascii="Cambria" w:eastAsia="Cambria" w:hAnsi="Cambria" w:cs="Cambria"/>
          <w:color w:val="000000"/>
        </w:rPr>
      </w:pPr>
    </w:p>
    <w:p w14:paraId="00000164" w14:textId="75B5D0AC"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6. Papers should be turned in on time; they should be in APA-style (yes, even first drafts), referenced, and </w:t>
      </w:r>
      <w:r>
        <w:rPr>
          <w:rFonts w:ascii="Cambria" w:eastAsia="Cambria" w:hAnsi="Cambria" w:cs="Cambria"/>
          <w:color w:val="000000"/>
          <w:u w:val="single"/>
        </w:rPr>
        <w:t xml:space="preserve">proofread </w:t>
      </w:r>
      <w:r>
        <w:rPr>
          <w:rFonts w:ascii="Cambria" w:eastAsia="Cambria" w:hAnsi="Cambria" w:cs="Cambria"/>
          <w:color w:val="000000"/>
        </w:rPr>
        <w:t>(use spell check!). Remember to put your name and date on everything you hand in. Don’t assume emailing papers as an attachment is OK with faculty members––some prefer “hard” copies. When in doubt, ask.</w:t>
      </w:r>
    </w:p>
    <w:p w14:paraId="00000165" w14:textId="77777777" w:rsidR="00CD3527" w:rsidRDefault="00CD3527">
      <w:pPr>
        <w:pBdr>
          <w:top w:val="nil"/>
          <w:left w:val="nil"/>
          <w:bottom w:val="nil"/>
          <w:right w:val="nil"/>
          <w:between w:val="nil"/>
        </w:pBdr>
        <w:rPr>
          <w:rFonts w:ascii="Cambria" w:eastAsia="Cambria" w:hAnsi="Cambria" w:cs="Cambria"/>
          <w:color w:val="000000"/>
        </w:rPr>
      </w:pPr>
    </w:p>
    <w:p w14:paraId="00000166" w14:textId="77777777" w:rsidR="00CD3527" w:rsidRDefault="00CD3527">
      <w:pPr>
        <w:pBdr>
          <w:top w:val="nil"/>
          <w:left w:val="nil"/>
          <w:bottom w:val="nil"/>
          <w:right w:val="nil"/>
          <w:between w:val="nil"/>
        </w:pBdr>
        <w:rPr>
          <w:rFonts w:ascii="Cambria" w:eastAsia="Cambria" w:hAnsi="Cambria" w:cs="Cambria"/>
          <w:i/>
          <w:color w:val="000000"/>
        </w:rPr>
      </w:pPr>
    </w:p>
    <w:p w14:paraId="00000167" w14:textId="77777777" w:rsidR="00CD3527" w:rsidRDefault="00CD3527">
      <w:pPr>
        <w:pBdr>
          <w:top w:val="nil"/>
          <w:left w:val="nil"/>
          <w:bottom w:val="nil"/>
          <w:right w:val="nil"/>
          <w:between w:val="nil"/>
        </w:pBdr>
        <w:ind w:firstLine="720"/>
        <w:rPr>
          <w:rFonts w:ascii="Cambria" w:eastAsia="Cambria" w:hAnsi="Cambria" w:cs="Cambria"/>
          <w:b/>
        </w:rPr>
      </w:pPr>
    </w:p>
    <w:p w14:paraId="51DC88F6" w14:textId="77777777" w:rsidR="00577EE4" w:rsidRDefault="00577EE4">
      <w:pPr>
        <w:pBdr>
          <w:top w:val="nil"/>
          <w:left w:val="nil"/>
          <w:bottom w:val="nil"/>
          <w:right w:val="nil"/>
          <w:between w:val="nil"/>
        </w:pBdr>
        <w:ind w:firstLine="720"/>
        <w:rPr>
          <w:rFonts w:ascii="Cambria" w:eastAsia="Cambria" w:hAnsi="Cambria" w:cs="Cambria"/>
          <w:b/>
          <w:color w:val="000000"/>
        </w:rPr>
      </w:pPr>
    </w:p>
    <w:p w14:paraId="6FB6F990" w14:textId="77777777" w:rsidR="00577EE4" w:rsidRDefault="00577EE4">
      <w:pPr>
        <w:pBdr>
          <w:top w:val="nil"/>
          <w:left w:val="nil"/>
          <w:bottom w:val="nil"/>
          <w:right w:val="nil"/>
          <w:between w:val="nil"/>
        </w:pBdr>
        <w:ind w:firstLine="720"/>
        <w:rPr>
          <w:rFonts w:ascii="Cambria" w:eastAsia="Cambria" w:hAnsi="Cambria" w:cs="Cambria"/>
          <w:b/>
          <w:color w:val="000000"/>
        </w:rPr>
      </w:pPr>
    </w:p>
    <w:p w14:paraId="2CF8B530" w14:textId="77777777" w:rsidR="00577EE4" w:rsidRDefault="00577EE4">
      <w:pPr>
        <w:pBdr>
          <w:top w:val="nil"/>
          <w:left w:val="nil"/>
          <w:bottom w:val="nil"/>
          <w:right w:val="nil"/>
          <w:between w:val="nil"/>
        </w:pBdr>
        <w:ind w:firstLine="720"/>
        <w:rPr>
          <w:rFonts w:ascii="Cambria" w:eastAsia="Cambria" w:hAnsi="Cambria" w:cs="Cambria"/>
          <w:b/>
          <w:color w:val="000000"/>
        </w:rPr>
      </w:pPr>
    </w:p>
    <w:p w14:paraId="00000168" w14:textId="59910EFC" w:rsidR="00CD3527" w:rsidRDefault="007F4AED">
      <w:pPr>
        <w:pBdr>
          <w:top w:val="nil"/>
          <w:left w:val="nil"/>
          <w:bottom w:val="nil"/>
          <w:right w:val="nil"/>
          <w:between w:val="nil"/>
        </w:pBdr>
        <w:ind w:firstLine="720"/>
        <w:rPr>
          <w:rFonts w:ascii="Cambria" w:eastAsia="Cambria" w:hAnsi="Cambria" w:cs="Cambria"/>
          <w:b/>
          <w:color w:val="000000"/>
        </w:rPr>
      </w:pPr>
      <w:r>
        <w:rPr>
          <w:rFonts w:ascii="Cambria" w:eastAsia="Cambria" w:hAnsi="Cambria" w:cs="Cambria"/>
          <w:b/>
          <w:color w:val="000000"/>
        </w:rPr>
        <w:t>Managing Time, Deadlines and Expectations of Self and Others</w:t>
      </w:r>
    </w:p>
    <w:p w14:paraId="00000169" w14:textId="77777777" w:rsidR="00CD3527" w:rsidRDefault="00CD3527">
      <w:pPr>
        <w:pBdr>
          <w:top w:val="nil"/>
          <w:left w:val="nil"/>
          <w:bottom w:val="nil"/>
          <w:right w:val="nil"/>
          <w:between w:val="nil"/>
        </w:pBdr>
        <w:ind w:firstLine="720"/>
        <w:rPr>
          <w:rFonts w:ascii="Cambria" w:eastAsia="Cambria" w:hAnsi="Cambria" w:cs="Cambria"/>
          <w:b/>
          <w:color w:val="000000"/>
        </w:rPr>
      </w:pPr>
    </w:p>
    <w:p w14:paraId="0000016A"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7. When turning in a second or later draft (of a Second-Year Project or Dissertation, for example) be sure to make clear which of the faculty’s previous edits and suggestions (e.g., through “track changes”) have been accepted and which (and why not) some of these suggestions have not been accepted. </w:t>
      </w:r>
    </w:p>
    <w:p w14:paraId="0000016B" w14:textId="77777777" w:rsidR="00CD3527" w:rsidRDefault="00CD3527">
      <w:pPr>
        <w:pBdr>
          <w:top w:val="nil"/>
          <w:left w:val="nil"/>
          <w:bottom w:val="nil"/>
          <w:right w:val="nil"/>
          <w:between w:val="nil"/>
        </w:pBdr>
        <w:rPr>
          <w:rFonts w:ascii="Cambria" w:eastAsia="Cambria" w:hAnsi="Cambria" w:cs="Cambria"/>
          <w:color w:val="000000"/>
        </w:rPr>
      </w:pPr>
    </w:p>
    <w:p w14:paraId="0000016C"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8. Your faculty are only human and, at any one time, typically have multiple responsibilities and demands. Therefore, please remember that: </w:t>
      </w:r>
    </w:p>
    <w:p w14:paraId="0000016D" w14:textId="77777777" w:rsidR="00CD3527" w:rsidRDefault="007F4AED">
      <w:pPr>
        <w:numPr>
          <w:ilvl w:val="0"/>
          <w:numId w:val="11"/>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They need time to read material you hand in. A week is a minimum, two weeks better.</w:t>
      </w:r>
    </w:p>
    <w:p w14:paraId="0000016E" w14:textId="77777777" w:rsidR="00CD3527" w:rsidRDefault="007F4AED">
      <w:pPr>
        <w:numPr>
          <w:ilvl w:val="0"/>
          <w:numId w:val="11"/>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They usually prefer not to sign things or discuss issues during chance encounters in hallways; make appointments to meet faculty in their offices.</w:t>
      </w:r>
    </w:p>
    <w:p w14:paraId="0000016F" w14:textId="77777777" w:rsidR="00CD3527" w:rsidRDefault="007F4AED">
      <w:pPr>
        <w:numPr>
          <w:ilvl w:val="0"/>
          <w:numId w:val="11"/>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Despite good intentions, they may not remember the details of what you talked about "last time." Remind them.</w:t>
      </w:r>
    </w:p>
    <w:p w14:paraId="00000170" w14:textId="77777777" w:rsidR="00CD3527" w:rsidRDefault="007F4AED">
      <w:pPr>
        <w:numPr>
          <w:ilvl w:val="0"/>
          <w:numId w:val="11"/>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When you are making up an Incomplete, handing in a late paper, or trying to get dissertation drafts read to meet a deadline, especially if you have missed the official deadlines, you should not expect the faculty member to put everything else aside for you. ("Failure on your part to plan ahead does not mean an emergency on my part").</w:t>
      </w:r>
    </w:p>
    <w:p w14:paraId="00000171" w14:textId="77777777" w:rsidR="00CD3527" w:rsidRDefault="00CD3527">
      <w:pPr>
        <w:pBdr>
          <w:top w:val="nil"/>
          <w:left w:val="nil"/>
          <w:bottom w:val="nil"/>
          <w:right w:val="nil"/>
          <w:between w:val="nil"/>
        </w:pBdr>
        <w:rPr>
          <w:rFonts w:ascii="Cambria" w:eastAsia="Cambria" w:hAnsi="Cambria" w:cs="Cambria"/>
          <w:color w:val="000000"/>
        </w:rPr>
      </w:pPr>
    </w:p>
    <w:p w14:paraId="00000172" w14:textId="77777777" w:rsidR="00CD3527" w:rsidRDefault="007F4AED">
      <w:pPr>
        <w:pBdr>
          <w:top w:val="nil"/>
          <w:left w:val="nil"/>
          <w:bottom w:val="nil"/>
          <w:right w:val="nil"/>
          <w:between w:val="nil"/>
        </w:pBdr>
        <w:ind w:left="1440" w:firstLine="720"/>
        <w:rPr>
          <w:rFonts w:ascii="Cambria" w:eastAsia="Cambria" w:hAnsi="Cambria" w:cs="Cambria"/>
          <w:b/>
          <w:color w:val="000000"/>
        </w:rPr>
      </w:pPr>
      <w:r>
        <w:rPr>
          <w:rFonts w:ascii="Cambria" w:eastAsia="Cambria" w:hAnsi="Cambria" w:cs="Cambria"/>
          <w:b/>
          <w:color w:val="000000"/>
        </w:rPr>
        <w:t>Professional Development</w:t>
      </w:r>
    </w:p>
    <w:p w14:paraId="00000173" w14:textId="77777777" w:rsidR="00CD3527" w:rsidRDefault="00CD3527">
      <w:pPr>
        <w:pBdr>
          <w:top w:val="nil"/>
          <w:left w:val="nil"/>
          <w:bottom w:val="nil"/>
          <w:right w:val="nil"/>
          <w:between w:val="nil"/>
        </w:pBdr>
        <w:ind w:firstLine="360"/>
        <w:rPr>
          <w:rFonts w:ascii="Cambria" w:eastAsia="Cambria" w:hAnsi="Cambria" w:cs="Cambria"/>
          <w:color w:val="000000"/>
          <w:u w:val="single"/>
        </w:rPr>
      </w:pPr>
    </w:p>
    <w:p w14:paraId="00000174"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9. Volunteer for ongoing research projects in the program and department (and for studies outside of TC as well). Research is an integral part of our training program: students and faculty alike depend on your participation, as well as that of your patients, for their studies. </w:t>
      </w:r>
    </w:p>
    <w:p w14:paraId="00000175" w14:textId="77777777" w:rsidR="00CD3527" w:rsidRDefault="00CD3527">
      <w:pPr>
        <w:pBdr>
          <w:top w:val="nil"/>
          <w:left w:val="nil"/>
          <w:bottom w:val="nil"/>
          <w:right w:val="nil"/>
          <w:between w:val="nil"/>
        </w:pBdr>
        <w:rPr>
          <w:rFonts w:ascii="Cambria" w:eastAsia="Cambria" w:hAnsi="Cambria" w:cs="Cambria"/>
          <w:color w:val="000000"/>
        </w:rPr>
      </w:pPr>
    </w:p>
    <w:p w14:paraId="00000176"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10. As part of a community, your participation in various committees and projects is often necessary (and much appreciated!). Each year we need students to help with admissions, colloquia scheduling, student orientation, the Alumni Newsletter, and </w:t>
      </w:r>
      <w:r>
        <w:rPr>
          <w:rFonts w:ascii="Cambria" w:eastAsia="Cambria" w:hAnsi="Cambria" w:cs="Cambria"/>
          <w:i/>
          <w:color w:val="000000"/>
        </w:rPr>
        <w:t xml:space="preserve">The Graduate Student Journal of Psychology </w:t>
      </w:r>
      <w:r>
        <w:rPr>
          <w:rFonts w:ascii="Cambria" w:eastAsia="Cambria" w:hAnsi="Cambria" w:cs="Cambria"/>
          <w:color w:val="000000"/>
        </w:rPr>
        <w:t>(administered and published by students in clinical and counseling psychology here at TC, under the supervision of Dr. Blanchard).</w:t>
      </w:r>
    </w:p>
    <w:p w14:paraId="00000177" w14:textId="77777777" w:rsidR="00CD3527" w:rsidRDefault="00CD3527">
      <w:pPr>
        <w:pBdr>
          <w:top w:val="nil"/>
          <w:left w:val="nil"/>
          <w:bottom w:val="nil"/>
          <w:right w:val="nil"/>
          <w:between w:val="nil"/>
        </w:pBdr>
        <w:rPr>
          <w:rFonts w:ascii="Cambria" w:eastAsia="Cambria" w:hAnsi="Cambria" w:cs="Cambria"/>
          <w:color w:val="000000"/>
        </w:rPr>
      </w:pPr>
    </w:p>
    <w:p w14:paraId="00000178" w14:textId="6B2BADE5"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11. As part of a larger-than-ever and rapidly changing psychological community, your participation in various agenda on behalf of psychologists in our city, state, and country, is increasingly important. Join APA, APS, NYSPA, and other organizations that reflect your interests; most have modest student membership fees. And read the journals and newsletters (e.g., APA’s </w:t>
      </w:r>
      <w:r>
        <w:rPr>
          <w:rFonts w:ascii="Cambria" w:eastAsia="Cambria" w:hAnsi="Cambria" w:cs="Cambria"/>
          <w:i/>
          <w:color w:val="000000"/>
        </w:rPr>
        <w:t>Monitor on Psychology</w:t>
      </w:r>
      <w:r>
        <w:rPr>
          <w:rFonts w:ascii="Cambria" w:eastAsia="Cambria" w:hAnsi="Cambria" w:cs="Cambria"/>
          <w:color w:val="000000"/>
        </w:rPr>
        <w:t xml:space="preserve">; APS’s </w:t>
      </w:r>
      <w:r>
        <w:rPr>
          <w:rFonts w:ascii="Cambria" w:eastAsia="Cambria" w:hAnsi="Cambria" w:cs="Cambria"/>
          <w:i/>
          <w:color w:val="000000"/>
        </w:rPr>
        <w:t>Observer</w:t>
      </w:r>
      <w:r>
        <w:rPr>
          <w:rFonts w:ascii="Cambria" w:eastAsia="Cambria" w:hAnsi="Cambria" w:cs="Cambria"/>
          <w:color w:val="000000"/>
        </w:rPr>
        <w:t xml:space="preserve">); they will keep you informed of the latest developments in our field. </w:t>
      </w:r>
    </w:p>
    <w:p w14:paraId="05BB2650" w14:textId="77777777" w:rsidR="007960DC" w:rsidRDefault="007960DC">
      <w:pPr>
        <w:pBdr>
          <w:top w:val="nil"/>
          <w:left w:val="nil"/>
          <w:bottom w:val="nil"/>
          <w:right w:val="nil"/>
          <w:between w:val="nil"/>
        </w:pBdr>
        <w:rPr>
          <w:rFonts w:ascii="Cambria" w:eastAsia="Cambria" w:hAnsi="Cambria" w:cs="Cambria"/>
          <w:color w:val="000000"/>
        </w:rPr>
      </w:pPr>
    </w:p>
    <w:p w14:paraId="00000179" w14:textId="77777777" w:rsidR="00CD3527" w:rsidRDefault="00CD3527">
      <w:pPr>
        <w:pBdr>
          <w:top w:val="nil"/>
          <w:left w:val="nil"/>
          <w:bottom w:val="nil"/>
          <w:right w:val="nil"/>
          <w:between w:val="nil"/>
        </w:pBdr>
        <w:rPr>
          <w:rFonts w:ascii="Cambria" w:eastAsia="Cambria" w:hAnsi="Cambria" w:cs="Cambria"/>
          <w:color w:val="000000"/>
        </w:rPr>
      </w:pPr>
    </w:p>
    <w:p w14:paraId="0000017A"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b/>
          <w:color w:val="000000"/>
        </w:rPr>
        <w:t>PROFESSIONAL ETIQUETTE:</w:t>
      </w:r>
      <w:r>
        <w:rPr>
          <w:rFonts w:ascii="Cambria" w:eastAsia="Cambria" w:hAnsi="Cambria" w:cs="Cambria"/>
          <w:color w:val="000000"/>
        </w:rPr>
        <w:t xml:space="preserve"> </w:t>
      </w:r>
    </w:p>
    <w:p w14:paraId="0000017B"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12. </w:t>
      </w:r>
      <w:r>
        <w:rPr>
          <w:rFonts w:ascii="Cambria" w:eastAsia="Cambria" w:hAnsi="Cambria" w:cs="Cambria"/>
          <w:b/>
          <w:color w:val="000000"/>
        </w:rPr>
        <w:t>Courtesy to your professors and fellow students demands that you do not text message, email, nor search the internet during classes, supervision, or meetings.</w:t>
      </w:r>
      <w:r>
        <w:rPr>
          <w:rFonts w:ascii="Cambria" w:eastAsia="Cambria" w:hAnsi="Cambria" w:cs="Cambria"/>
          <w:color w:val="000000"/>
        </w:rPr>
        <w:t xml:space="preserve"> </w:t>
      </w:r>
      <w:r>
        <w:rPr>
          <w:rFonts w:ascii="Cambria" w:eastAsia="Cambria" w:hAnsi="Cambria" w:cs="Cambria"/>
          <w:color w:val="000000"/>
        </w:rPr>
        <w:lastRenderedPageBreak/>
        <w:t xml:space="preserve">In a related vein, courtesy to your support staff demands that you respect their personal and professional space, including the need to return things that are borrowed and to ask permission to use items that are on a staff member’s desk or supply cabinets (e.g., computers, books, paper, or supplies). </w:t>
      </w:r>
    </w:p>
    <w:p w14:paraId="0000017C" w14:textId="77777777" w:rsidR="00CD3527" w:rsidRDefault="00CD3527">
      <w:pPr>
        <w:pBdr>
          <w:top w:val="nil"/>
          <w:left w:val="nil"/>
          <w:bottom w:val="nil"/>
          <w:right w:val="nil"/>
          <w:between w:val="nil"/>
        </w:pBdr>
        <w:rPr>
          <w:rFonts w:ascii="Cambria" w:eastAsia="Cambria" w:hAnsi="Cambria" w:cs="Cambria"/>
          <w:color w:val="000000"/>
        </w:rPr>
      </w:pPr>
    </w:p>
    <w:p w14:paraId="0000017D"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13. Make good use of your time here; stay aware of the fact that you are being trained in a challenging but rewarding profession. Faculty, supervisors, and your fellow students will be well aware (at least much of the time) of the extent to which you are conscientious about your reading, your assignments, and your desire to learn as much as possible. There is a real difference between just doing the work and being committed to doing it as well as possible.</w:t>
      </w:r>
    </w:p>
    <w:p w14:paraId="0000017E" w14:textId="77777777" w:rsidR="00CD3527" w:rsidRDefault="00CD3527">
      <w:pPr>
        <w:pBdr>
          <w:top w:val="nil"/>
          <w:left w:val="nil"/>
          <w:bottom w:val="nil"/>
          <w:right w:val="nil"/>
          <w:between w:val="nil"/>
        </w:pBdr>
        <w:rPr>
          <w:rFonts w:ascii="Cambria" w:eastAsia="Cambria" w:hAnsi="Cambria" w:cs="Cambria"/>
          <w:color w:val="000000"/>
        </w:rPr>
      </w:pPr>
    </w:p>
    <w:p w14:paraId="0000017F"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14. If a faculty member or supervisor has written a recommendation on your behalf, make sure to inform that person of the outcome of your application to that position (e.g., externship, internship, job, etc.).  </w:t>
      </w:r>
    </w:p>
    <w:p w14:paraId="00000180" w14:textId="77777777" w:rsidR="00CD3527" w:rsidRDefault="00CD3527">
      <w:pPr>
        <w:pBdr>
          <w:top w:val="nil"/>
          <w:left w:val="nil"/>
          <w:bottom w:val="nil"/>
          <w:right w:val="nil"/>
          <w:between w:val="nil"/>
        </w:pBdr>
        <w:rPr>
          <w:rFonts w:ascii="Cambria" w:eastAsia="Cambria" w:hAnsi="Cambria" w:cs="Cambria"/>
          <w:color w:val="000000"/>
        </w:rPr>
      </w:pPr>
    </w:p>
    <w:p w14:paraId="00000181" w14:textId="77777777" w:rsidR="00CD3527" w:rsidRDefault="007F4AED">
      <w:pPr>
        <w:pBdr>
          <w:top w:val="nil"/>
          <w:left w:val="nil"/>
          <w:bottom w:val="nil"/>
          <w:right w:val="nil"/>
          <w:between w:val="nil"/>
        </w:pBdr>
        <w:rPr>
          <w:rFonts w:ascii="Cambria" w:eastAsia="Cambria" w:hAnsi="Cambria" w:cs="Cambria"/>
          <w:b/>
          <w:color w:val="FF0000"/>
        </w:rPr>
      </w:pPr>
      <w:r>
        <w:rPr>
          <w:rFonts w:ascii="Cambria" w:eastAsia="Cambria" w:hAnsi="Cambria" w:cs="Cambria"/>
          <w:color w:val="000000"/>
        </w:rPr>
        <w:t xml:space="preserve">15. On a job, insist that your title be "Psychological Assistant" (or a close equivalent), not "Psychologist." Similarly, on a job or internship, do not use the title "Doctor." In either case, this would be misleading and therefore unethical. </w:t>
      </w:r>
      <w:r>
        <w:rPr>
          <w:rFonts w:ascii="Cambria" w:eastAsia="Cambria" w:hAnsi="Cambria" w:cs="Cambria"/>
          <w:b/>
          <w:color w:val="FF0000"/>
          <w:u w:val="single"/>
        </w:rPr>
        <w:t>In addition, as a graduate student in psychology, you are prohibited from engaging in the independent practice of psychology</w:t>
      </w:r>
      <w:r>
        <w:rPr>
          <w:rFonts w:ascii="Cambria" w:eastAsia="Cambria" w:hAnsi="Cambria" w:cs="Cambria"/>
          <w:b/>
          <w:color w:val="FF0000"/>
        </w:rPr>
        <w:t xml:space="preserve">.  </w:t>
      </w:r>
    </w:p>
    <w:p w14:paraId="00000182" w14:textId="77777777" w:rsidR="00CD3527" w:rsidRDefault="00CD3527">
      <w:pPr>
        <w:pBdr>
          <w:top w:val="nil"/>
          <w:left w:val="nil"/>
          <w:bottom w:val="nil"/>
          <w:right w:val="nil"/>
          <w:between w:val="nil"/>
        </w:pBdr>
        <w:rPr>
          <w:rFonts w:ascii="Cambria" w:eastAsia="Cambria" w:hAnsi="Cambria" w:cs="Cambria"/>
          <w:b/>
          <w:color w:val="FF0000"/>
        </w:rPr>
      </w:pPr>
    </w:p>
    <w:p w14:paraId="00000183" w14:textId="6C22D2F5" w:rsidR="00CD3527" w:rsidRDefault="007F4AED">
      <w:pPr>
        <w:pBdr>
          <w:top w:val="nil"/>
          <w:left w:val="nil"/>
          <w:bottom w:val="nil"/>
          <w:right w:val="nil"/>
          <w:between w:val="nil"/>
        </w:pBdr>
        <w:rPr>
          <w:rFonts w:ascii="Cambria" w:eastAsia="Cambria" w:hAnsi="Cambria" w:cs="Cambria"/>
          <w:b/>
          <w:color w:val="FF0000"/>
          <w:u w:val="single"/>
        </w:rPr>
      </w:pPr>
      <w:r>
        <w:rPr>
          <w:rFonts w:ascii="Cambria" w:eastAsia="Cambria" w:hAnsi="Cambria" w:cs="Cambria"/>
          <w:color w:val="000000"/>
        </w:rPr>
        <w:t xml:space="preserve">16. Also, note </w:t>
      </w:r>
      <w:r w:rsidR="002A7462">
        <w:rPr>
          <w:rFonts w:ascii="Cambria" w:eastAsia="Cambria" w:hAnsi="Cambria" w:cs="Cambria"/>
          <w:color w:val="000000"/>
        </w:rPr>
        <w:t xml:space="preserve">the </w:t>
      </w:r>
      <w:r>
        <w:rPr>
          <w:rFonts w:ascii="Cambria" w:eastAsia="Cambria" w:hAnsi="Cambria" w:cs="Cambria"/>
          <w:color w:val="000000"/>
        </w:rPr>
        <w:t xml:space="preserve">appropriate use </w:t>
      </w:r>
      <w:r>
        <w:rPr>
          <w:rFonts w:ascii="Cambria" w:eastAsia="Cambria" w:hAnsi="Cambria" w:cs="Cambria"/>
        </w:rPr>
        <w:t xml:space="preserve">of the Term “Doctoral Candidate: until students have successfully passed the Doctoral Comprehensive Exam, they </w:t>
      </w:r>
      <w:r>
        <w:rPr>
          <w:rFonts w:ascii="Cambria" w:eastAsia="Cambria" w:hAnsi="Cambria" w:cs="Cambria"/>
          <w:b/>
        </w:rPr>
        <w:t xml:space="preserve">cannot </w:t>
      </w:r>
      <w:r>
        <w:rPr>
          <w:rFonts w:ascii="Cambria" w:eastAsia="Cambria" w:hAnsi="Cambria" w:cs="Cambria"/>
        </w:rPr>
        <w:t xml:space="preserve">identify themselves as doctoral candidates. They may identify themselves until that time as “doctoral students.” </w:t>
      </w:r>
    </w:p>
    <w:p w14:paraId="00000184" w14:textId="5B135423" w:rsidR="00CD3527" w:rsidRDefault="007F4AED">
      <w:pPr>
        <w:spacing w:before="280" w:after="280"/>
        <w:rPr>
          <w:rFonts w:ascii="Cambria" w:eastAsia="Cambria" w:hAnsi="Cambria" w:cs="Cambria"/>
        </w:rPr>
      </w:pPr>
      <w:r>
        <w:rPr>
          <w:rFonts w:ascii="Cambria" w:eastAsia="Cambria" w:hAnsi="Cambria" w:cs="Cambria"/>
        </w:rPr>
        <w:t xml:space="preserve">17. Social Media: Clinical psychology doctoral students who use social networking sites (e.g., Facebook, Twitter, Instagram, TikTok) should be mindful of how their communications may be perceived by clients, colleagues, students, faculty, other mental health professionals, and the general public. As such, doctoral students should make every effort to minimize visual or printed material that could be deemed inappropriate for a health service psychologist. To this end, doctoral students should consider setting all security settings to “private” and should avoid posting information, language, or photos that could jeopardize their professional image. Obviously, this is a subjective matter (e.g., who determines what is appropriate?), but we raise this issue to increase self-awareness and critical thinking around one’s social media presence. Clinical Psychology doctoral students should consider limiting the amount of personal information posted on these sites and should </w:t>
      </w:r>
      <w:r w:rsidRPr="00B3065A">
        <w:rPr>
          <w:rFonts w:ascii="Cambria" w:eastAsia="Cambria" w:hAnsi="Cambria" w:cs="Cambria"/>
          <w:b/>
          <w:bCs/>
        </w:rPr>
        <w:t>never</w:t>
      </w:r>
      <w:r>
        <w:rPr>
          <w:rFonts w:ascii="Cambria" w:eastAsia="Cambria" w:hAnsi="Cambria" w:cs="Cambria"/>
        </w:rPr>
        <w:t xml:space="preserve"> include clients with whom they currently work, or graduate students (for whom they currently serve as </w:t>
      </w:r>
      <w:r w:rsidR="00FC5EAF">
        <w:rPr>
          <w:rFonts w:ascii="Cambria" w:eastAsia="Cambria" w:hAnsi="Cambria" w:cs="Cambria"/>
        </w:rPr>
        <w:t xml:space="preserve">teaching </w:t>
      </w:r>
      <w:r>
        <w:rPr>
          <w:rFonts w:ascii="Cambria" w:eastAsia="Cambria" w:hAnsi="Cambria" w:cs="Cambria"/>
        </w:rPr>
        <w:t xml:space="preserve">assistant) as part of their social network because this may be seen as a boundary violation. Additionally, a doctoral student who makes a post to social media that could lead to the identification of a client (thus violating client confidentiality) or shares academic information about a student for whom they have served as a course assistant (thus violating FERPA) will be breaching the ethical and legal standards that govern </w:t>
      </w:r>
      <w:r>
        <w:rPr>
          <w:rFonts w:ascii="Cambria" w:eastAsia="Cambria" w:hAnsi="Cambria" w:cs="Cambria"/>
        </w:rPr>
        <w:lastRenderedPageBreak/>
        <w:t xml:space="preserve">the practice of psychologists and thus become subject to disciplinary actions, including dismissal from the program. </w:t>
      </w:r>
    </w:p>
    <w:p w14:paraId="586FD109" w14:textId="77777777" w:rsidR="00CC27B8" w:rsidRDefault="00CC27B8">
      <w:pPr>
        <w:rPr>
          <w:rFonts w:ascii="Cambria" w:eastAsia="Cambria" w:hAnsi="Cambria" w:cs="Cambria"/>
          <w:b/>
        </w:rPr>
      </w:pPr>
    </w:p>
    <w:p w14:paraId="79AC83C5" w14:textId="77777777" w:rsidR="00CC27B8" w:rsidRDefault="00CC27B8">
      <w:pPr>
        <w:rPr>
          <w:rFonts w:ascii="Cambria" w:eastAsia="Cambria" w:hAnsi="Cambria" w:cs="Cambria"/>
          <w:b/>
        </w:rPr>
      </w:pPr>
    </w:p>
    <w:p w14:paraId="67C46E82" w14:textId="77777777" w:rsidR="00CC27B8" w:rsidRDefault="00CC27B8">
      <w:pPr>
        <w:rPr>
          <w:rFonts w:ascii="Cambria" w:eastAsia="Cambria" w:hAnsi="Cambria" w:cs="Cambria"/>
          <w:b/>
        </w:rPr>
      </w:pPr>
    </w:p>
    <w:p w14:paraId="00000185" w14:textId="6A4803BE" w:rsidR="00CD3527" w:rsidRDefault="007F4AED">
      <w:pPr>
        <w:rPr>
          <w:rFonts w:ascii="Cambria" w:eastAsia="Cambria" w:hAnsi="Cambria" w:cs="Cambria"/>
          <w:b/>
        </w:rPr>
      </w:pPr>
      <w:r w:rsidRPr="00B3065A">
        <w:rPr>
          <w:rFonts w:ascii="Cambria" w:eastAsia="Cambria" w:hAnsi="Cambria" w:cs="Cambria"/>
          <w:b/>
        </w:rPr>
        <w:t>Recommendations for Responsible Use of Social Networking and the Internet</w:t>
      </w:r>
    </w:p>
    <w:p w14:paraId="4EB10207" w14:textId="77777777" w:rsidR="002A7462" w:rsidRPr="00B3065A" w:rsidRDefault="002A7462">
      <w:pPr>
        <w:rPr>
          <w:rFonts w:ascii="Cambria" w:eastAsia="Cambria" w:hAnsi="Cambria" w:cs="Cambria"/>
          <w:b/>
          <w:vertAlign w:val="superscript"/>
        </w:rPr>
      </w:pPr>
    </w:p>
    <w:p w14:paraId="018A0270" w14:textId="77777777" w:rsidR="002A7462" w:rsidRDefault="007F4AED">
      <w:pPr>
        <w:rPr>
          <w:rFonts w:ascii="Cambria" w:eastAsia="Cambria" w:hAnsi="Cambria" w:cs="Cambria"/>
          <w:sz w:val="18"/>
          <w:szCs w:val="18"/>
        </w:rPr>
      </w:pPr>
      <w:r>
        <w:rPr>
          <w:rFonts w:ascii="Cambria" w:eastAsia="Cambria" w:hAnsi="Cambria" w:cs="Cambria"/>
          <w:sz w:val="18"/>
          <w:szCs w:val="18"/>
        </w:rPr>
        <w:t xml:space="preserve">This section is taken from St. Thomas University’s Graduate School of Professional Psychology’s document </w:t>
      </w:r>
    </w:p>
    <w:p w14:paraId="00000186" w14:textId="4E1CB54F" w:rsidR="00CD3527" w:rsidRDefault="007F4AED">
      <w:pPr>
        <w:rPr>
          <w:rFonts w:ascii="Cambria" w:eastAsia="Cambria" w:hAnsi="Cambria" w:cs="Cambria"/>
          <w:sz w:val="18"/>
          <w:szCs w:val="18"/>
        </w:rPr>
      </w:pPr>
      <w:r>
        <w:rPr>
          <w:rFonts w:ascii="Cambria" w:eastAsia="Cambria" w:hAnsi="Cambria" w:cs="Cambria"/>
          <w:sz w:val="18"/>
          <w:szCs w:val="18"/>
        </w:rPr>
        <w:t>“Therapist use of social networking and the Internet” and from the TC Counseling Psychology Ph.D. Student Handbook</w:t>
      </w:r>
    </w:p>
    <w:tbl>
      <w:tblPr>
        <w:tblStyle w:val="a"/>
        <w:tblW w:w="8900" w:type="dxa"/>
        <w:tblLayout w:type="fixed"/>
        <w:tblLook w:val="0400" w:firstRow="0" w:lastRow="0" w:firstColumn="0" w:lastColumn="0" w:noHBand="0" w:noVBand="1"/>
      </w:tblPr>
      <w:tblGrid>
        <w:gridCol w:w="5288"/>
        <w:gridCol w:w="3612"/>
      </w:tblGrid>
      <w:tr w:rsidR="00CD3527" w14:paraId="2DC4E4BB" w14:textId="77777777">
        <w:tc>
          <w:tcPr>
            <w:tcW w:w="5288" w:type="dxa"/>
            <w:tcBorders>
              <w:top w:val="single" w:sz="12" w:space="0" w:color="000000"/>
              <w:left w:val="single" w:sz="4" w:space="0" w:color="000000"/>
              <w:bottom w:val="single" w:sz="12" w:space="0" w:color="000000"/>
              <w:right w:val="single" w:sz="4" w:space="0" w:color="000000"/>
            </w:tcBorders>
            <w:shd w:val="clear" w:color="auto" w:fill="FFFFFF"/>
            <w:vAlign w:val="center"/>
          </w:tcPr>
          <w:p w14:paraId="00000187" w14:textId="77777777" w:rsidR="00CD3527" w:rsidRDefault="007F4AED">
            <w:pPr>
              <w:rPr>
                <w:rFonts w:ascii="Cambria" w:eastAsia="Cambria" w:hAnsi="Cambria" w:cs="Cambria"/>
                <w:sz w:val="20"/>
                <w:szCs w:val="20"/>
              </w:rPr>
            </w:pPr>
            <w:r>
              <w:rPr>
                <w:rFonts w:ascii="Cambria" w:eastAsia="Cambria" w:hAnsi="Cambria" w:cs="Cambria"/>
                <w:sz w:val="20"/>
                <w:szCs w:val="20"/>
              </w:rPr>
              <w:t xml:space="preserve">To minimize risk </w:t>
            </w:r>
          </w:p>
        </w:tc>
        <w:tc>
          <w:tcPr>
            <w:tcW w:w="3612" w:type="dxa"/>
            <w:tcBorders>
              <w:top w:val="single" w:sz="12" w:space="0" w:color="000000"/>
              <w:left w:val="single" w:sz="4" w:space="0" w:color="000000"/>
              <w:bottom w:val="single" w:sz="12" w:space="0" w:color="000000"/>
              <w:right w:val="single" w:sz="4" w:space="0" w:color="000000"/>
            </w:tcBorders>
            <w:shd w:val="clear" w:color="auto" w:fill="FFFFFF"/>
            <w:vAlign w:val="center"/>
          </w:tcPr>
          <w:p w14:paraId="00000188" w14:textId="77777777" w:rsidR="00CD3527" w:rsidRDefault="007F4AED">
            <w:pPr>
              <w:rPr>
                <w:rFonts w:ascii="Cambria" w:eastAsia="Cambria" w:hAnsi="Cambria" w:cs="Cambria"/>
                <w:sz w:val="20"/>
                <w:szCs w:val="20"/>
              </w:rPr>
            </w:pPr>
            <w:r>
              <w:rPr>
                <w:rFonts w:ascii="Cambria" w:eastAsia="Cambria" w:hAnsi="Cambria" w:cs="Cambria"/>
                <w:sz w:val="20"/>
                <w:szCs w:val="20"/>
              </w:rPr>
              <w:t xml:space="preserve">To maximize professional use </w:t>
            </w:r>
          </w:p>
        </w:tc>
      </w:tr>
      <w:tr w:rsidR="00CD3527" w14:paraId="7587A16A" w14:textId="77777777">
        <w:tc>
          <w:tcPr>
            <w:tcW w:w="5288" w:type="dxa"/>
            <w:tcBorders>
              <w:top w:val="single" w:sz="12" w:space="0" w:color="000000"/>
              <w:left w:val="single" w:sz="4" w:space="0" w:color="000000"/>
              <w:bottom w:val="single" w:sz="12" w:space="0" w:color="000000"/>
              <w:right w:val="single" w:sz="4" w:space="0" w:color="000000"/>
            </w:tcBorders>
            <w:shd w:val="clear" w:color="auto" w:fill="FFFFFF"/>
            <w:vAlign w:val="center"/>
          </w:tcPr>
          <w:p w14:paraId="00000189" w14:textId="77777777" w:rsidR="00CD3527" w:rsidRDefault="007F4AED">
            <w:pPr>
              <w:rPr>
                <w:rFonts w:ascii="Cambria" w:eastAsia="Cambria" w:hAnsi="Cambria" w:cs="Cambria"/>
                <w:sz w:val="20"/>
                <w:szCs w:val="20"/>
              </w:rPr>
            </w:pPr>
            <w:r>
              <w:rPr>
                <w:rFonts w:ascii="Cambria" w:eastAsia="Cambria" w:hAnsi="Cambria" w:cs="Cambria"/>
                <w:sz w:val="20"/>
                <w:szCs w:val="20"/>
              </w:rPr>
              <w:t xml:space="preserve">Carefully consider how your personal use of social networking may reflect on your professional identity. Some people maintain a public professional profile and an anonymous personal profile. </w:t>
            </w:r>
          </w:p>
        </w:tc>
        <w:tc>
          <w:tcPr>
            <w:tcW w:w="3612" w:type="dxa"/>
            <w:tcBorders>
              <w:top w:val="single" w:sz="12" w:space="0" w:color="000000"/>
              <w:left w:val="single" w:sz="4" w:space="0" w:color="000000"/>
              <w:bottom w:val="single" w:sz="12" w:space="0" w:color="000000"/>
              <w:right w:val="single" w:sz="4" w:space="0" w:color="000000"/>
            </w:tcBorders>
            <w:shd w:val="clear" w:color="auto" w:fill="FFFFFF"/>
            <w:vAlign w:val="center"/>
          </w:tcPr>
          <w:p w14:paraId="0000018A" w14:textId="77777777" w:rsidR="00CD3527" w:rsidRDefault="007F4AED">
            <w:pPr>
              <w:rPr>
                <w:rFonts w:ascii="Cambria" w:eastAsia="Cambria" w:hAnsi="Cambria" w:cs="Cambria"/>
                <w:sz w:val="20"/>
                <w:szCs w:val="20"/>
              </w:rPr>
            </w:pPr>
            <w:r>
              <w:rPr>
                <w:rFonts w:ascii="Cambria" w:eastAsia="Cambria" w:hAnsi="Cambria" w:cs="Cambria"/>
                <w:sz w:val="20"/>
                <w:szCs w:val="20"/>
              </w:rPr>
              <w:t xml:space="preserve">Discuss personal use of social networking with your supervisor, professors, and colleagues. Embody your role as a representative of your profession and the institutions you are affiliated with. </w:t>
            </w:r>
          </w:p>
        </w:tc>
      </w:tr>
      <w:tr w:rsidR="00CD3527" w14:paraId="6F484449" w14:textId="77777777">
        <w:tc>
          <w:tcPr>
            <w:tcW w:w="5288" w:type="dxa"/>
            <w:tcBorders>
              <w:top w:val="single" w:sz="12" w:space="0" w:color="000000"/>
              <w:left w:val="single" w:sz="4" w:space="0" w:color="000000"/>
              <w:bottom w:val="single" w:sz="12" w:space="0" w:color="000000"/>
              <w:right w:val="single" w:sz="4" w:space="0" w:color="000000"/>
            </w:tcBorders>
            <w:shd w:val="clear" w:color="auto" w:fill="FFFFFF"/>
            <w:vAlign w:val="center"/>
          </w:tcPr>
          <w:p w14:paraId="0000018B" w14:textId="77777777" w:rsidR="00CD3527" w:rsidRDefault="007F4AED">
            <w:pPr>
              <w:rPr>
                <w:rFonts w:ascii="Cambria" w:eastAsia="Cambria" w:hAnsi="Cambria" w:cs="Cambria"/>
                <w:sz w:val="20"/>
                <w:szCs w:val="20"/>
              </w:rPr>
            </w:pPr>
            <w:r>
              <w:rPr>
                <w:rFonts w:ascii="Cambria" w:eastAsia="Cambria" w:hAnsi="Cambria" w:cs="Cambria"/>
                <w:sz w:val="20"/>
                <w:szCs w:val="20"/>
              </w:rPr>
              <w:t xml:space="preserve">Policies regarding online searching of clients and use of social networking should be made clear up front while obtaining informed consent. Students are encouraged not to engage in social network relationships with a client and to discuss requests from a client with a supervisor. Examples of social media policies are available in Jordan, et al. (2013) </w:t>
            </w:r>
          </w:p>
        </w:tc>
        <w:tc>
          <w:tcPr>
            <w:tcW w:w="3612" w:type="dxa"/>
            <w:tcBorders>
              <w:top w:val="single" w:sz="12" w:space="0" w:color="000000"/>
              <w:left w:val="single" w:sz="4" w:space="0" w:color="000000"/>
              <w:bottom w:val="single" w:sz="12" w:space="0" w:color="000000"/>
              <w:right w:val="single" w:sz="4" w:space="0" w:color="000000"/>
            </w:tcBorders>
            <w:shd w:val="clear" w:color="auto" w:fill="FFFFFF"/>
            <w:vAlign w:val="center"/>
          </w:tcPr>
          <w:p w14:paraId="0000018C" w14:textId="77777777" w:rsidR="00CD3527" w:rsidRDefault="007F4AED">
            <w:pPr>
              <w:rPr>
                <w:rFonts w:ascii="Cambria" w:eastAsia="Cambria" w:hAnsi="Cambria" w:cs="Cambria"/>
                <w:sz w:val="20"/>
                <w:szCs w:val="20"/>
              </w:rPr>
            </w:pPr>
            <w:r>
              <w:rPr>
                <w:rFonts w:ascii="Cambria" w:eastAsia="Cambria" w:hAnsi="Cambria" w:cs="Cambria"/>
                <w:sz w:val="20"/>
                <w:szCs w:val="20"/>
              </w:rPr>
              <w:t xml:space="preserve">Discuss your professional social networking use policy with colleagues and your supervisor </w:t>
            </w:r>
          </w:p>
        </w:tc>
      </w:tr>
      <w:tr w:rsidR="00CD3527" w14:paraId="42708A33" w14:textId="77777777">
        <w:tc>
          <w:tcPr>
            <w:tcW w:w="5288" w:type="dxa"/>
            <w:tcBorders>
              <w:top w:val="single" w:sz="12" w:space="0" w:color="000000"/>
              <w:left w:val="single" w:sz="4" w:space="0" w:color="000000"/>
              <w:bottom w:val="single" w:sz="12" w:space="0" w:color="000000"/>
              <w:right w:val="single" w:sz="4" w:space="0" w:color="000000"/>
            </w:tcBorders>
            <w:shd w:val="clear" w:color="auto" w:fill="FFFFFF"/>
            <w:vAlign w:val="center"/>
          </w:tcPr>
          <w:p w14:paraId="0000018D" w14:textId="77777777" w:rsidR="00CD3527" w:rsidRDefault="007F4AED">
            <w:pPr>
              <w:rPr>
                <w:rFonts w:ascii="Cambria" w:eastAsia="Cambria" w:hAnsi="Cambria" w:cs="Cambria"/>
                <w:sz w:val="20"/>
                <w:szCs w:val="20"/>
              </w:rPr>
            </w:pPr>
            <w:r>
              <w:rPr>
                <w:rFonts w:ascii="Cambria" w:eastAsia="Cambria" w:hAnsi="Cambria" w:cs="Cambria"/>
                <w:sz w:val="20"/>
                <w:szCs w:val="20"/>
              </w:rPr>
              <w:t xml:space="preserve">Use privacy settings that will safeguard you and your family. Check settings frequently as environments can change what options are available. Recognize that you do not own the information you post on a social networking site and that the company that owns it can change their policies at any time. Consider maintaining separate sites for professional information versus personal information. </w:t>
            </w:r>
          </w:p>
        </w:tc>
        <w:tc>
          <w:tcPr>
            <w:tcW w:w="3612" w:type="dxa"/>
            <w:tcBorders>
              <w:top w:val="single" w:sz="12" w:space="0" w:color="000000"/>
              <w:left w:val="single" w:sz="4" w:space="0" w:color="000000"/>
              <w:bottom w:val="single" w:sz="12" w:space="0" w:color="000000"/>
              <w:right w:val="single" w:sz="4" w:space="0" w:color="000000"/>
            </w:tcBorders>
            <w:shd w:val="clear" w:color="auto" w:fill="FFFFFF"/>
            <w:vAlign w:val="center"/>
          </w:tcPr>
          <w:p w14:paraId="0000018E" w14:textId="77777777" w:rsidR="00CD3527" w:rsidRDefault="007F4AED">
            <w:pPr>
              <w:rPr>
                <w:rFonts w:ascii="Cambria" w:eastAsia="Cambria" w:hAnsi="Cambria" w:cs="Cambria"/>
                <w:sz w:val="20"/>
                <w:szCs w:val="20"/>
              </w:rPr>
            </w:pPr>
            <w:r>
              <w:rPr>
                <w:rFonts w:ascii="Cambria" w:eastAsia="Cambria" w:hAnsi="Cambria" w:cs="Cambria"/>
                <w:sz w:val="20"/>
                <w:szCs w:val="20"/>
              </w:rPr>
              <w:t xml:space="preserve">Regularly use common search engines to search for yourself to know what information others are finding about you. Also check sites that aggregate content from multiple sources such as pipl.com and 123people.com. </w:t>
            </w:r>
          </w:p>
        </w:tc>
      </w:tr>
      <w:tr w:rsidR="00CD3527" w14:paraId="72728CBB" w14:textId="77777777">
        <w:tc>
          <w:tcPr>
            <w:tcW w:w="5288" w:type="dxa"/>
            <w:tcBorders>
              <w:top w:val="single" w:sz="12" w:space="0" w:color="000000"/>
              <w:left w:val="single" w:sz="4" w:space="0" w:color="000000"/>
              <w:bottom w:val="single" w:sz="12" w:space="0" w:color="000000"/>
              <w:right w:val="single" w:sz="4" w:space="0" w:color="000000"/>
            </w:tcBorders>
            <w:shd w:val="clear" w:color="auto" w:fill="FFFFFF"/>
            <w:vAlign w:val="center"/>
          </w:tcPr>
          <w:p w14:paraId="0000018F" w14:textId="77777777" w:rsidR="00CD3527" w:rsidRDefault="007F4AED">
            <w:pPr>
              <w:rPr>
                <w:rFonts w:ascii="Cambria" w:eastAsia="Cambria" w:hAnsi="Cambria" w:cs="Cambria"/>
                <w:sz w:val="20"/>
                <w:szCs w:val="20"/>
              </w:rPr>
            </w:pPr>
            <w:r>
              <w:rPr>
                <w:rFonts w:ascii="Cambria" w:eastAsia="Cambria" w:hAnsi="Cambria" w:cs="Cambria"/>
                <w:sz w:val="20"/>
                <w:szCs w:val="20"/>
              </w:rPr>
              <w:t xml:space="preserve">Never post about clients. Clinicians most maintain confidentiality. Even posting about clinical work generally (i.e., not including identifiable information) could be problematic. For example, the statement “Clients wearing me down today, get it together man!” could harm clients who see the post and assume it is about them. Furthermore, the post could contribute to societal stigma about mental health and mental health services, which both harms the profession and the public. </w:t>
            </w:r>
          </w:p>
        </w:tc>
        <w:tc>
          <w:tcPr>
            <w:tcW w:w="3612" w:type="dxa"/>
            <w:tcBorders>
              <w:top w:val="single" w:sz="12" w:space="0" w:color="000000"/>
              <w:left w:val="single" w:sz="4" w:space="0" w:color="000000"/>
              <w:bottom w:val="single" w:sz="12" w:space="0" w:color="000000"/>
              <w:right w:val="single" w:sz="4" w:space="0" w:color="000000"/>
            </w:tcBorders>
            <w:shd w:val="clear" w:color="auto" w:fill="FFFFFF"/>
            <w:vAlign w:val="center"/>
          </w:tcPr>
          <w:p w14:paraId="00000190" w14:textId="77777777" w:rsidR="00CD3527" w:rsidRDefault="00CD3527">
            <w:pPr>
              <w:rPr>
                <w:rFonts w:ascii="Cambria" w:eastAsia="Cambria" w:hAnsi="Cambria" w:cs="Cambria"/>
                <w:sz w:val="20"/>
                <w:szCs w:val="20"/>
              </w:rPr>
            </w:pPr>
          </w:p>
        </w:tc>
      </w:tr>
      <w:tr w:rsidR="00CD3527" w14:paraId="2F8DE9B4" w14:textId="77777777">
        <w:tc>
          <w:tcPr>
            <w:tcW w:w="5288" w:type="dxa"/>
            <w:tcBorders>
              <w:top w:val="single" w:sz="12" w:space="0" w:color="000000"/>
              <w:left w:val="single" w:sz="4" w:space="0" w:color="000000"/>
              <w:bottom w:val="single" w:sz="12" w:space="0" w:color="000000"/>
              <w:right w:val="single" w:sz="4" w:space="0" w:color="000000"/>
            </w:tcBorders>
            <w:shd w:val="clear" w:color="auto" w:fill="FFFFFF"/>
            <w:vAlign w:val="center"/>
          </w:tcPr>
          <w:p w14:paraId="00000191" w14:textId="77777777" w:rsidR="00CD3527" w:rsidRDefault="007F4AED">
            <w:pPr>
              <w:rPr>
                <w:rFonts w:ascii="Cambria" w:eastAsia="Cambria" w:hAnsi="Cambria" w:cs="Cambria"/>
                <w:sz w:val="20"/>
                <w:szCs w:val="20"/>
              </w:rPr>
            </w:pPr>
            <w:r>
              <w:rPr>
                <w:rFonts w:ascii="Cambria" w:eastAsia="Cambria" w:hAnsi="Cambria" w:cs="Cambria"/>
                <w:sz w:val="20"/>
                <w:szCs w:val="20"/>
              </w:rPr>
              <w:t xml:space="preserve">If you become concerned about the content that a peer is providing online, discuss it directly with the person or with your supervisor. </w:t>
            </w:r>
          </w:p>
        </w:tc>
        <w:tc>
          <w:tcPr>
            <w:tcW w:w="3612" w:type="dxa"/>
            <w:tcBorders>
              <w:top w:val="single" w:sz="12" w:space="0" w:color="000000"/>
              <w:left w:val="single" w:sz="4" w:space="0" w:color="000000"/>
              <w:bottom w:val="single" w:sz="12" w:space="0" w:color="000000"/>
              <w:right w:val="single" w:sz="4" w:space="0" w:color="000000"/>
            </w:tcBorders>
            <w:shd w:val="clear" w:color="auto" w:fill="FFFFFF"/>
            <w:vAlign w:val="center"/>
          </w:tcPr>
          <w:p w14:paraId="00000192" w14:textId="77777777" w:rsidR="00CD3527" w:rsidRDefault="007F4AED">
            <w:pPr>
              <w:rPr>
                <w:rFonts w:ascii="Cambria" w:eastAsia="Cambria" w:hAnsi="Cambria" w:cs="Cambria"/>
                <w:sz w:val="20"/>
                <w:szCs w:val="20"/>
              </w:rPr>
            </w:pPr>
            <w:r>
              <w:rPr>
                <w:rFonts w:ascii="Cambria" w:eastAsia="Cambria" w:hAnsi="Cambria" w:cs="Cambria"/>
                <w:sz w:val="20"/>
                <w:szCs w:val="20"/>
              </w:rPr>
              <w:t xml:space="preserve">Research how your colleagues are using the internet to promote their practices. Stay current on the topic in professional journals and at conferences. </w:t>
            </w:r>
          </w:p>
        </w:tc>
      </w:tr>
      <w:tr w:rsidR="00CD3527" w14:paraId="724B7D52" w14:textId="77777777">
        <w:tc>
          <w:tcPr>
            <w:tcW w:w="5288" w:type="dxa"/>
            <w:tcBorders>
              <w:top w:val="single" w:sz="12" w:space="0" w:color="000000"/>
              <w:left w:val="single" w:sz="4" w:space="0" w:color="000000"/>
              <w:bottom w:val="single" w:sz="12" w:space="0" w:color="000000"/>
              <w:right w:val="single" w:sz="4" w:space="0" w:color="000000"/>
            </w:tcBorders>
            <w:shd w:val="clear" w:color="auto" w:fill="FFFFFF"/>
            <w:vAlign w:val="center"/>
          </w:tcPr>
          <w:p w14:paraId="00000193" w14:textId="77777777" w:rsidR="00CD3527" w:rsidRDefault="007F4AED">
            <w:pPr>
              <w:rPr>
                <w:rFonts w:ascii="Cambria" w:eastAsia="Cambria" w:hAnsi="Cambria" w:cs="Cambria"/>
                <w:sz w:val="20"/>
                <w:szCs w:val="20"/>
              </w:rPr>
            </w:pPr>
            <w:r>
              <w:rPr>
                <w:rFonts w:ascii="Cambria" w:eastAsia="Cambria" w:hAnsi="Cambria" w:cs="Cambria"/>
                <w:sz w:val="20"/>
                <w:szCs w:val="20"/>
              </w:rPr>
              <w:t xml:space="preserve">When thinking about posting content online, consider that it is possible for this post to become public at some point. What are the costs and benefits of posting? Is there any way that you, or your peers or clients, could be negatively affected? Recognize that deleting information online does not always remove it permanently. </w:t>
            </w:r>
          </w:p>
        </w:tc>
        <w:tc>
          <w:tcPr>
            <w:tcW w:w="3612" w:type="dxa"/>
            <w:tcBorders>
              <w:top w:val="single" w:sz="12" w:space="0" w:color="000000"/>
              <w:left w:val="single" w:sz="4" w:space="0" w:color="000000"/>
              <w:bottom w:val="single" w:sz="12" w:space="0" w:color="000000"/>
              <w:right w:val="single" w:sz="4" w:space="0" w:color="000000"/>
            </w:tcBorders>
            <w:shd w:val="clear" w:color="auto" w:fill="FFFFFF"/>
            <w:vAlign w:val="center"/>
          </w:tcPr>
          <w:p w14:paraId="00000194" w14:textId="77777777" w:rsidR="00CD3527" w:rsidRDefault="007F4AED">
            <w:pPr>
              <w:rPr>
                <w:rFonts w:ascii="Cambria" w:eastAsia="Cambria" w:hAnsi="Cambria" w:cs="Cambria"/>
                <w:sz w:val="20"/>
                <w:szCs w:val="20"/>
              </w:rPr>
            </w:pPr>
            <w:r>
              <w:rPr>
                <w:rFonts w:ascii="Cambria" w:eastAsia="Cambria" w:hAnsi="Cambria" w:cs="Cambria"/>
                <w:sz w:val="20"/>
                <w:szCs w:val="20"/>
              </w:rPr>
              <w:t xml:space="preserve">Use appropriate sites to promote your areas of competence and expertise. </w:t>
            </w:r>
          </w:p>
        </w:tc>
      </w:tr>
      <w:tr w:rsidR="00CD3527" w14:paraId="5513B84F" w14:textId="77777777">
        <w:tc>
          <w:tcPr>
            <w:tcW w:w="5288" w:type="dxa"/>
            <w:tcBorders>
              <w:top w:val="single" w:sz="12" w:space="0" w:color="000000"/>
              <w:left w:val="single" w:sz="4" w:space="0" w:color="000000"/>
              <w:bottom w:val="single" w:sz="12" w:space="0" w:color="000000"/>
              <w:right w:val="single" w:sz="4" w:space="0" w:color="000000"/>
            </w:tcBorders>
            <w:shd w:val="clear" w:color="auto" w:fill="FFFFFF"/>
            <w:vAlign w:val="center"/>
          </w:tcPr>
          <w:p w14:paraId="00000195" w14:textId="77777777" w:rsidR="00CD3527" w:rsidRDefault="007F4AED">
            <w:pPr>
              <w:rPr>
                <w:rFonts w:ascii="Cambria" w:eastAsia="Cambria" w:hAnsi="Cambria" w:cs="Cambria"/>
                <w:sz w:val="20"/>
                <w:szCs w:val="20"/>
              </w:rPr>
            </w:pPr>
            <w:r>
              <w:rPr>
                <w:rFonts w:ascii="Cambria" w:eastAsia="Cambria" w:hAnsi="Cambria" w:cs="Cambria"/>
                <w:sz w:val="20"/>
                <w:szCs w:val="20"/>
              </w:rPr>
              <w:t xml:space="preserve">Do not search for clients on the internet unless it is likely to benefit the client and prior consent has been obtained (in </w:t>
            </w:r>
            <w:r>
              <w:rPr>
                <w:rFonts w:ascii="Cambria" w:eastAsia="Cambria" w:hAnsi="Cambria" w:cs="Cambria"/>
                <w:sz w:val="20"/>
                <w:szCs w:val="20"/>
              </w:rPr>
              <w:lastRenderedPageBreak/>
              <w:t xml:space="preserve">writing) from the client. Two exceptions may be some forensic situations and situations where there is imminent danger to the client (DiLillo &amp; Gale, 2011). </w:t>
            </w:r>
          </w:p>
        </w:tc>
        <w:tc>
          <w:tcPr>
            <w:tcW w:w="3612" w:type="dxa"/>
            <w:tcBorders>
              <w:top w:val="single" w:sz="12" w:space="0" w:color="000000"/>
              <w:left w:val="single" w:sz="4" w:space="0" w:color="000000"/>
              <w:bottom w:val="single" w:sz="12" w:space="0" w:color="000000"/>
              <w:right w:val="single" w:sz="4" w:space="0" w:color="000000"/>
            </w:tcBorders>
            <w:shd w:val="clear" w:color="auto" w:fill="FFFFFF"/>
            <w:vAlign w:val="center"/>
          </w:tcPr>
          <w:p w14:paraId="00000196" w14:textId="77777777" w:rsidR="00CD3527" w:rsidRDefault="00CD3527">
            <w:pPr>
              <w:rPr>
                <w:rFonts w:ascii="Cambria" w:eastAsia="Cambria" w:hAnsi="Cambria" w:cs="Cambria"/>
                <w:sz w:val="20"/>
                <w:szCs w:val="20"/>
              </w:rPr>
            </w:pPr>
          </w:p>
        </w:tc>
      </w:tr>
    </w:tbl>
    <w:p w14:paraId="00000197" w14:textId="77777777" w:rsidR="00CD3527" w:rsidRDefault="00CD3527">
      <w:pPr>
        <w:spacing w:before="280" w:after="280"/>
        <w:rPr>
          <w:rFonts w:ascii="Cambria" w:eastAsia="Cambria" w:hAnsi="Cambria" w:cs="Cambria"/>
          <w:sz w:val="20"/>
          <w:szCs w:val="20"/>
        </w:rPr>
      </w:pPr>
    </w:p>
    <w:p w14:paraId="00000198" w14:textId="77777777" w:rsidR="00CD3527" w:rsidRDefault="00CD3527">
      <w:pPr>
        <w:pBdr>
          <w:top w:val="nil"/>
          <w:left w:val="nil"/>
          <w:bottom w:val="nil"/>
          <w:right w:val="nil"/>
          <w:between w:val="nil"/>
        </w:pBdr>
        <w:rPr>
          <w:rFonts w:ascii="Cambria" w:eastAsia="Cambria" w:hAnsi="Cambria" w:cs="Cambria"/>
          <w:color w:val="000000"/>
          <w:sz w:val="20"/>
          <w:szCs w:val="20"/>
          <w:u w:val="single"/>
        </w:rPr>
      </w:pPr>
    </w:p>
    <w:p w14:paraId="00000199" w14:textId="77777777" w:rsidR="00CD3527" w:rsidRDefault="00CD3527">
      <w:pPr>
        <w:pBdr>
          <w:top w:val="nil"/>
          <w:left w:val="nil"/>
          <w:bottom w:val="nil"/>
          <w:right w:val="nil"/>
          <w:between w:val="nil"/>
        </w:pBdr>
        <w:rPr>
          <w:rFonts w:ascii="Cambria" w:eastAsia="Cambria" w:hAnsi="Cambria" w:cs="Cambria"/>
          <w:color w:val="000000"/>
          <w:sz w:val="20"/>
          <w:szCs w:val="20"/>
          <w:u w:val="single"/>
        </w:rPr>
      </w:pPr>
    </w:p>
    <w:p w14:paraId="0000019A" w14:textId="77777777" w:rsidR="00CD3527" w:rsidRDefault="007F4AED">
      <w:p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PERSONAL/CARE FOR SELF &amp; COMMUNITY BUILDING:</w:t>
      </w:r>
    </w:p>
    <w:p w14:paraId="0000019B" w14:textId="77777777" w:rsidR="00CD3527" w:rsidRDefault="00CD3527">
      <w:pPr>
        <w:pBdr>
          <w:top w:val="nil"/>
          <w:left w:val="nil"/>
          <w:bottom w:val="nil"/>
          <w:right w:val="nil"/>
          <w:between w:val="nil"/>
        </w:pBdr>
        <w:rPr>
          <w:rFonts w:ascii="Cambria" w:eastAsia="Cambria" w:hAnsi="Cambria" w:cs="Cambria"/>
          <w:color w:val="000000"/>
        </w:rPr>
      </w:pPr>
    </w:p>
    <w:p w14:paraId="0000019C" w14:textId="79C5DE5E"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16. For your sake—and for the sake of your patients, friends, colleagues, faculty, and significant others—tend to your own mental health. This means engaging in your own therapy, meditation</w:t>
      </w:r>
      <w:r w:rsidR="007B1994">
        <w:rPr>
          <w:rFonts w:ascii="Cambria" w:eastAsia="Cambria" w:hAnsi="Cambria" w:cs="Cambria"/>
          <w:color w:val="000000"/>
        </w:rPr>
        <w:t>,</w:t>
      </w:r>
      <w:r>
        <w:rPr>
          <w:rFonts w:ascii="Cambria" w:eastAsia="Cambria" w:hAnsi="Cambria" w:cs="Cambria"/>
          <w:color w:val="000000"/>
        </w:rPr>
        <w:t xml:space="preserve"> or yoga practice. Your advisor, the Director of Clinical Training, the Director of the Dean Hope Center, or your supervisor can help with a therapy referral.</w:t>
      </w:r>
    </w:p>
    <w:p w14:paraId="0000019D" w14:textId="77777777" w:rsidR="00CD3527" w:rsidRDefault="00CD3527">
      <w:pPr>
        <w:pBdr>
          <w:top w:val="nil"/>
          <w:left w:val="nil"/>
          <w:bottom w:val="nil"/>
          <w:right w:val="nil"/>
          <w:between w:val="nil"/>
        </w:pBdr>
        <w:rPr>
          <w:rFonts w:ascii="Cambria" w:eastAsia="Cambria" w:hAnsi="Cambria" w:cs="Cambria"/>
          <w:color w:val="000000"/>
        </w:rPr>
      </w:pPr>
    </w:p>
    <w:p w14:paraId="0000019E"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17. Maintain a sense of humor! Exercise, take breaks, and travel/rejuvenate as often as possible.</w:t>
      </w:r>
    </w:p>
    <w:p w14:paraId="0000019F" w14:textId="77777777" w:rsidR="00CD3527" w:rsidRDefault="00CD3527">
      <w:pPr>
        <w:pBdr>
          <w:top w:val="nil"/>
          <w:left w:val="nil"/>
          <w:bottom w:val="nil"/>
          <w:right w:val="nil"/>
          <w:between w:val="nil"/>
        </w:pBdr>
        <w:rPr>
          <w:rFonts w:ascii="Cambria" w:eastAsia="Cambria" w:hAnsi="Cambria" w:cs="Cambria"/>
          <w:color w:val="000000"/>
        </w:rPr>
      </w:pPr>
    </w:p>
    <w:p w14:paraId="000001A0" w14:textId="77777777" w:rsidR="00CD3527" w:rsidRDefault="007F4AED">
      <w:p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ADDITIONAL NOTES:</w:t>
      </w:r>
    </w:p>
    <w:p w14:paraId="000001A1" w14:textId="77777777" w:rsidR="00CD3527" w:rsidRDefault="007F4AED">
      <w:pPr>
        <w:numPr>
          <w:ilvl w:val="0"/>
          <w:numId w:val="56"/>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As early as your second-year here, introduce yourself to Russell Gulizia in the Office of Doctoral Studies. He is an invaluable source of knowledge of all the requirements and paperwork necessary for completing your degree and will guide you to keep an internal audit of your progress in the program.</w:t>
      </w:r>
    </w:p>
    <w:p w14:paraId="000001A2" w14:textId="06FA6F9B" w:rsidR="00CD3527" w:rsidRDefault="007F4AED">
      <w:pPr>
        <w:numPr>
          <w:ilvl w:val="0"/>
          <w:numId w:val="56"/>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Students who present their research at professional meetings are eligible for up to $500 in travel funds and expenses provided by our program (see Rebecca for relevant paperwork). For other opportunities to fund your conference travel and presentations, visit </w:t>
      </w:r>
      <w:r>
        <w:rPr>
          <w:rFonts w:ascii="Cambria" w:eastAsia="Cambria" w:hAnsi="Cambria" w:cs="Cambria"/>
          <w:i/>
          <w:color w:val="000000"/>
        </w:rPr>
        <w:t>studentaffairs@tc.edu</w:t>
      </w:r>
      <w:r w:rsidR="002A7462">
        <w:rPr>
          <w:rFonts w:ascii="Cambria" w:eastAsia="Cambria" w:hAnsi="Cambria" w:cs="Cambria"/>
          <w:i/>
          <w:color w:val="000000"/>
        </w:rPr>
        <w:t>.</w:t>
      </w:r>
    </w:p>
    <w:p w14:paraId="000001A3" w14:textId="77777777" w:rsidR="00CD3527" w:rsidRDefault="00CD3527">
      <w:pPr>
        <w:pBdr>
          <w:top w:val="nil"/>
          <w:left w:val="nil"/>
          <w:bottom w:val="nil"/>
          <w:right w:val="nil"/>
          <w:between w:val="nil"/>
        </w:pBdr>
        <w:rPr>
          <w:rFonts w:ascii="Cambria" w:eastAsia="Cambria" w:hAnsi="Cambria" w:cs="Cambria"/>
          <w:color w:val="000000"/>
        </w:rPr>
      </w:pPr>
    </w:p>
    <w:p w14:paraId="000001A4" w14:textId="77777777" w:rsidR="00CD3527" w:rsidRDefault="007F4AED">
      <w:pPr>
        <w:pStyle w:val="Heading1"/>
      </w:pPr>
      <w:bookmarkStart w:id="29" w:name="_heading=h.qsh70q" w:colFirst="0" w:colLast="0"/>
      <w:bookmarkEnd w:id="29"/>
      <w:r>
        <w:br w:type="page"/>
      </w:r>
      <w:r>
        <w:lastRenderedPageBreak/>
        <w:t>Training Requirements, Milestones, and Typical Timeline</w:t>
      </w:r>
    </w:p>
    <w:p w14:paraId="000001A5" w14:textId="77777777" w:rsidR="00CD3527" w:rsidRDefault="00CD3527">
      <w:pPr>
        <w:pBdr>
          <w:top w:val="nil"/>
          <w:left w:val="nil"/>
          <w:bottom w:val="nil"/>
          <w:right w:val="nil"/>
          <w:between w:val="nil"/>
        </w:pBdr>
        <w:jc w:val="center"/>
        <w:rPr>
          <w:rFonts w:ascii="Cambria" w:eastAsia="Cambria" w:hAnsi="Cambria" w:cs="Cambria"/>
          <w:color w:val="000000"/>
        </w:rPr>
      </w:pPr>
    </w:p>
    <w:p w14:paraId="001D0766" w14:textId="77777777" w:rsidR="00681DF2" w:rsidRDefault="00681DF2" w:rsidP="00681DF2">
      <w:r>
        <w:rPr>
          <w:noProof/>
        </w:rPr>
        <w:drawing>
          <wp:inline distT="0" distB="0" distL="0" distR="0" wp14:anchorId="11A9FAF0" wp14:editId="46055C4E">
            <wp:extent cx="5486400" cy="3200400"/>
            <wp:effectExtent l="12700" t="50800" r="25400" b="50800"/>
            <wp:docPr id="6" name="Diagram 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1" r:lo="rId22" r:qs="rId23" r:cs="rId24"/>
              </a:graphicData>
            </a:graphic>
          </wp:inline>
        </w:drawing>
      </w:r>
    </w:p>
    <w:p w14:paraId="74B18880" w14:textId="77777777" w:rsidR="00681DF2" w:rsidRDefault="00681DF2" w:rsidP="00681DF2">
      <w:r>
        <w:rPr>
          <w:noProof/>
        </w:rPr>
        <w:drawing>
          <wp:inline distT="0" distB="0" distL="0" distR="0" wp14:anchorId="15682AD5" wp14:editId="583FE4C0">
            <wp:extent cx="5486400" cy="3200400"/>
            <wp:effectExtent l="38100" t="38100" r="25400" b="38100"/>
            <wp:docPr id="7" name="Diagram 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6" r:lo="rId27" r:qs="rId28" r:cs="rId29"/>
              </a:graphicData>
            </a:graphic>
          </wp:inline>
        </w:drawing>
      </w:r>
    </w:p>
    <w:p w14:paraId="59CE9C66" w14:textId="77777777" w:rsidR="00681DF2" w:rsidRDefault="00681DF2" w:rsidP="00681DF2">
      <w:r>
        <w:rPr>
          <w:noProof/>
        </w:rPr>
        <w:lastRenderedPageBreak/>
        <w:drawing>
          <wp:inline distT="0" distB="0" distL="0" distR="0" wp14:anchorId="26377C82" wp14:editId="396120A0">
            <wp:extent cx="5486400" cy="3200400"/>
            <wp:effectExtent l="38100" t="38100" r="25400" b="50800"/>
            <wp:docPr id="3" name="Diagram 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1" r:lo="rId32" r:qs="rId33" r:cs="rId34"/>
              </a:graphicData>
            </a:graphic>
          </wp:inline>
        </w:drawing>
      </w:r>
    </w:p>
    <w:p w14:paraId="6652CDB1" w14:textId="77777777" w:rsidR="00681DF2" w:rsidRDefault="00681DF2" w:rsidP="00681DF2"/>
    <w:p w14:paraId="000001A6" w14:textId="230B5A75" w:rsidR="00CD3527" w:rsidRDefault="00CD3527">
      <w:pPr>
        <w:pBdr>
          <w:top w:val="nil"/>
          <w:left w:val="nil"/>
          <w:bottom w:val="nil"/>
          <w:right w:val="nil"/>
          <w:between w:val="nil"/>
        </w:pBdr>
        <w:jc w:val="center"/>
        <w:rPr>
          <w:rFonts w:ascii="Cambria" w:eastAsia="Cambria" w:hAnsi="Cambria" w:cs="Cambria"/>
          <w:color w:val="000000"/>
        </w:rPr>
      </w:pPr>
    </w:p>
    <w:p w14:paraId="000001A7" w14:textId="059A00CA" w:rsidR="00CD3527" w:rsidRDefault="00CD3527">
      <w:pPr>
        <w:pBdr>
          <w:top w:val="nil"/>
          <w:left w:val="nil"/>
          <w:bottom w:val="nil"/>
          <w:right w:val="nil"/>
          <w:between w:val="nil"/>
        </w:pBdr>
        <w:jc w:val="center"/>
        <w:rPr>
          <w:rFonts w:ascii="Cambria" w:eastAsia="Cambria" w:hAnsi="Cambria" w:cs="Cambria"/>
          <w:color w:val="000000"/>
        </w:rPr>
      </w:pPr>
    </w:p>
    <w:p w14:paraId="000001A8"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*In Year 5 or 6, students typically go on their internship and possibly defend during the year.</w:t>
      </w:r>
    </w:p>
    <w:p w14:paraId="758156BB" w14:textId="7DE937D8" w:rsidR="00681DF2" w:rsidRDefault="00681DF2">
      <w:pPr>
        <w:pStyle w:val="Heading1"/>
      </w:pPr>
    </w:p>
    <w:p w14:paraId="2735D0DE" w14:textId="569AA5B8" w:rsidR="00681DF2" w:rsidRPr="00681DF2" w:rsidRDefault="00681DF2" w:rsidP="00681DF2">
      <w:r>
        <w:br w:type="page"/>
      </w:r>
    </w:p>
    <w:p w14:paraId="000001AA" w14:textId="746583E1" w:rsidR="00CD3527" w:rsidRDefault="007F4AED">
      <w:pPr>
        <w:pStyle w:val="Heading1"/>
      </w:pPr>
      <w:r>
        <w:lastRenderedPageBreak/>
        <w:t>FAQ (Frequently Asked Questions)</w:t>
      </w:r>
    </w:p>
    <w:p w14:paraId="000001AB" w14:textId="77777777" w:rsidR="00CD3527" w:rsidRDefault="00CD3527">
      <w:pPr>
        <w:pBdr>
          <w:top w:val="nil"/>
          <w:left w:val="nil"/>
          <w:bottom w:val="nil"/>
          <w:right w:val="nil"/>
          <w:between w:val="nil"/>
        </w:pBdr>
        <w:rPr>
          <w:rFonts w:ascii="Cambria" w:eastAsia="Cambria" w:hAnsi="Cambria" w:cs="Cambria"/>
          <w:color w:val="000000"/>
        </w:rPr>
      </w:pPr>
    </w:p>
    <w:p w14:paraId="000001AC" w14:textId="29AB3219" w:rsidR="00CD3527" w:rsidRDefault="007F4AED">
      <w:p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Everything Advisor</w:t>
      </w:r>
      <w:r w:rsidR="002B2B76">
        <w:rPr>
          <w:rFonts w:ascii="Cambria" w:eastAsia="Cambria" w:hAnsi="Cambria" w:cs="Cambria"/>
          <w:b/>
          <w:color w:val="000000"/>
        </w:rPr>
        <w:t>-related</w:t>
      </w:r>
    </w:p>
    <w:p w14:paraId="000001AD"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i/>
          <w:color w:val="000000"/>
        </w:rPr>
        <w:t>Can I change advisors?</w:t>
      </w:r>
    </w:p>
    <w:p w14:paraId="000001AE"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Students are typically admitted into the program by a specific advisor on the basis of a mutual set of interests and research goals. Students’ home base within the program is their faculty-led research lab. However, over the course of training sometimes interests change and sometimes the professional connection just doesn't work. When this occurs, you and your advisor should make every effort to speak about this situation with the goal of repairing the relationship and continuing working together. However, if you still wish to change advisors you will need to speak to your original advisor, discussing with them the reasons for wanting to change. Assuming that your original advisor and the DCT both agree to this change, you will need to develop a scholarly set of goals and agreement for advisorship from a new advisor </w:t>
      </w:r>
      <w:r>
        <w:rPr>
          <w:rFonts w:ascii="Cambria" w:eastAsia="Cambria" w:hAnsi="Cambria" w:cs="Cambria"/>
          <w:i/>
          <w:color w:val="000000"/>
        </w:rPr>
        <w:t>within the program</w:t>
      </w:r>
      <w:r>
        <w:rPr>
          <w:rFonts w:ascii="Cambria" w:eastAsia="Cambria" w:hAnsi="Cambria" w:cs="Cambria"/>
          <w:color w:val="000000"/>
        </w:rPr>
        <w:t xml:space="preserve">. That is, you would need to find a new advisor interested in taking you on in order to remain in the program. To be clear: the circumstances necessitating such a change should be extraordinary. It can be difficult if not impossible to find another advisor willing to take on an extra student. Thus, every effort should be made to continue a working relationship with your original faculty advisor/advisor. </w:t>
      </w:r>
    </w:p>
    <w:p w14:paraId="000001AF" w14:textId="77777777" w:rsidR="00CD3527" w:rsidRDefault="00CD3527">
      <w:pPr>
        <w:pBdr>
          <w:top w:val="nil"/>
          <w:left w:val="nil"/>
          <w:bottom w:val="nil"/>
          <w:right w:val="nil"/>
          <w:between w:val="nil"/>
        </w:pBdr>
        <w:rPr>
          <w:rFonts w:ascii="Cambria" w:eastAsia="Cambria" w:hAnsi="Cambria" w:cs="Cambria"/>
          <w:color w:val="000000"/>
        </w:rPr>
      </w:pPr>
    </w:p>
    <w:p w14:paraId="000001B0"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In some cases, too, a lack of productivity or commitment may lead an advisor to terminate a student’s involvement in his or her lab.  </w:t>
      </w:r>
    </w:p>
    <w:p w14:paraId="000001B1" w14:textId="77777777" w:rsidR="00CD3527" w:rsidRDefault="00CD3527">
      <w:pPr>
        <w:pBdr>
          <w:top w:val="nil"/>
          <w:left w:val="nil"/>
          <w:bottom w:val="nil"/>
          <w:right w:val="nil"/>
          <w:between w:val="nil"/>
        </w:pBdr>
        <w:rPr>
          <w:rFonts w:ascii="Cambria" w:eastAsia="Cambria" w:hAnsi="Cambria" w:cs="Cambria"/>
          <w:color w:val="000000"/>
        </w:rPr>
      </w:pPr>
    </w:p>
    <w:p w14:paraId="000001B2"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Please note that if you are receiving project-related funds (tuition and/or stipend) for your work in a specific lab, you will not receive these project funds if you change to a new advisor. Program training funds are not available to cover changes in advisement that involve loss of project funds. Note too that you must have an advisor from within the Clinical Psychology Program at all times to remain in the Clinical Psychology Program. </w:t>
      </w:r>
    </w:p>
    <w:p w14:paraId="000001B3" w14:textId="77777777" w:rsidR="00CD3527" w:rsidRDefault="00CD3527">
      <w:pPr>
        <w:pBdr>
          <w:top w:val="nil"/>
          <w:left w:val="nil"/>
          <w:bottom w:val="nil"/>
          <w:right w:val="nil"/>
          <w:between w:val="nil"/>
        </w:pBdr>
        <w:rPr>
          <w:rFonts w:ascii="Cambria" w:eastAsia="Cambria" w:hAnsi="Cambria" w:cs="Cambria"/>
          <w:color w:val="000000"/>
        </w:rPr>
      </w:pPr>
    </w:p>
    <w:p w14:paraId="000001B4" w14:textId="77777777" w:rsidR="00CD3527" w:rsidRDefault="007F4AED">
      <w:p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Everything Research</w:t>
      </w:r>
    </w:p>
    <w:p w14:paraId="000001B5" w14:textId="77777777" w:rsidR="00CD3527" w:rsidRDefault="007F4AED">
      <w:pPr>
        <w:pBdr>
          <w:top w:val="nil"/>
          <w:left w:val="nil"/>
          <w:bottom w:val="nil"/>
          <w:right w:val="nil"/>
          <w:between w:val="nil"/>
        </w:pBdr>
        <w:rPr>
          <w:rFonts w:ascii="Cambria" w:eastAsia="Cambria" w:hAnsi="Cambria" w:cs="Cambria"/>
          <w:b/>
          <w:color w:val="000000"/>
        </w:rPr>
      </w:pPr>
      <w:r>
        <w:rPr>
          <w:rFonts w:ascii="Cambria" w:eastAsia="Cambria" w:hAnsi="Cambria" w:cs="Cambria"/>
          <w:i/>
          <w:color w:val="000000"/>
        </w:rPr>
        <w:t>When and how do I start research?</w:t>
      </w:r>
    </w:p>
    <w:p w14:paraId="000001B6"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b/>
          <w:color w:val="000000"/>
        </w:rPr>
        <w:t>YEAR 1:</w:t>
      </w:r>
      <w:r>
        <w:rPr>
          <w:rFonts w:ascii="Cambria" w:eastAsia="Cambria" w:hAnsi="Cambria" w:cs="Cambria"/>
          <w:color w:val="000000"/>
        </w:rPr>
        <w:t xml:space="preserve"> If you haven’t already begun working with your advisor prior to your admission to the doctoral program, you should start research in the first few weeks or months of doctoral study. Your research development occurs through engagement in lab with your advisor and fellow students in the lab. Each lab has its own standards of scholarship, commitment, and productivity. The majority of labs require 15-20 hours per week depending on the advisor. </w:t>
      </w:r>
      <w:r>
        <w:rPr>
          <w:rFonts w:ascii="Cambria" w:eastAsia="Cambria" w:hAnsi="Cambria" w:cs="Cambria"/>
          <w:color w:val="000000"/>
        </w:rPr>
        <w:br/>
      </w:r>
    </w:p>
    <w:p w14:paraId="000001B7" w14:textId="0F8FB416"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b/>
          <w:color w:val="000000"/>
        </w:rPr>
        <w:t>YEAR 2:</w:t>
      </w:r>
      <w:r>
        <w:rPr>
          <w:rFonts w:ascii="Cambria" w:eastAsia="Cambria" w:hAnsi="Cambria" w:cs="Cambria"/>
          <w:color w:val="000000"/>
        </w:rPr>
        <w:t xml:space="preserve"> Continue working in the lab – on your projects and with your advisor. Begin defining your own line of research and strategize your Master’s thesis (Second-</w:t>
      </w:r>
      <w:r w:rsidR="00DA169F">
        <w:rPr>
          <w:rFonts w:ascii="Cambria" w:eastAsia="Cambria" w:hAnsi="Cambria" w:cs="Cambria"/>
          <w:color w:val="000000"/>
        </w:rPr>
        <w:t>Y</w:t>
      </w:r>
      <w:r>
        <w:rPr>
          <w:rFonts w:ascii="Cambria" w:eastAsia="Cambria" w:hAnsi="Cambria" w:cs="Cambria"/>
          <w:color w:val="000000"/>
        </w:rPr>
        <w:t xml:space="preserve">ear Project). </w:t>
      </w:r>
    </w:p>
    <w:p w14:paraId="000001B8" w14:textId="77777777" w:rsidR="00CD3527" w:rsidRDefault="00CD3527">
      <w:pPr>
        <w:pBdr>
          <w:top w:val="nil"/>
          <w:left w:val="nil"/>
          <w:bottom w:val="nil"/>
          <w:right w:val="nil"/>
          <w:between w:val="nil"/>
        </w:pBdr>
        <w:rPr>
          <w:rFonts w:ascii="Cambria" w:eastAsia="Cambria" w:hAnsi="Cambria" w:cs="Cambria"/>
          <w:color w:val="000000"/>
        </w:rPr>
      </w:pPr>
    </w:p>
    <w:p w14:paraId="000001B9" w14:textId="16FC5CA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b/>
          <w:color w:val="000000"/>
        </w:rPr>
        <w:t xml:space="preserve">YEAR 3: </w:t>
      </w:r>
      <w:r>
        <w:rPr>
          <w:rFonts w:ascii="Cambria" w:eastAsia="Cambria" w:hAnsi="Cambria" w:cs="Cambria"/>
          <w:color w:val="000000"/>
        </w:rPr>
        <w:t>Present your Second-</w:t>
      </w:r>
      <w:r w:rsidR="00DA169F">
        <w:rPr>
          <w:rFonts w:ascii="Cambria" w:eastAsia="Cambria" w:hAnsi="Cambria" w:cs="Cambria"/>
          <w:color w:val="000000"/>
        </w:rPr>
        <w:t>Y</w:t>
      </w:r>
      <w:r>
        <w:rPr>
          <w:rFonts w:ascii="Cambria" w:eastAsia="Cambria" w:hAnsi="Cambria" w:cs="Cambria"/>
          <w:color w:val="000000"/>
        </w:rPr>
        <w:t>ear Project and start thinking about your dissertation research.</w:t>
      </w:r>
    </w:p>
    <w:p w14:paraId="000001BA" w14:textId="77777777" w:rsidR="00CD3527" w:rsidRDefault="00CD3527">
      <w:pPr>
        <w:pBdr>
          <w:top w:val="nil"/>
          <w:left w:val="nil"/>
          <w:bottom w:val="nil"/>
          <w:right w:val="nil"/>
          <w:between w:val="nil"/>
        </w:pBdr>
        <w:rPr>
          <w:rFonts w:ascii="Cambria" w:eastAsia="Cambria" w:hAnsi="Cambria" w:cs="Cambria"/>
          <w:color w:val="000000"/>
        </w:rPr>
      </w:pPr>
    </w:p>
    <w:p w14:paraId="000001BB"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b/>
          <w:color w:val="000000"/>
        </w:rPr>
        <w:t>YEAR 4:</w:t>
      </w:r>
      <w:r>
        <w:rPr>
          <w:rFonts w:ascii="Cambria" w:eastAsia="Cambria" w:hAnsi="Cambria" w:cs="Cambria"/>
          <w:color w:val="000000"/>
        </w:rPr>
        <w:t xml:space="preserve"> Propose your dissertation (in time for internship application), and hopefully defend your dissertation before going on internship.</w:t>
      </w:r>
    </w:p>
    <w:p w14:paraId="000001BC" w14:textId="77777777" w:rsidR="00CD3527" w:rsidRDefault="00CD3527">
      <w:pPr>
        <w:pBdr>
          <w:top w:val="nil"/>
          <w:left w:val="nil"/>
          <w:bottom w:val="nil"/>
          <w:right w:val="nil"/>
          <w:between w:val="nil"/>
        </w:pBdr>
        <w:rPr>
          <w:rFonts w:ascii="Cambria" w:eastAsia="Cambria" w:hAnsi="Cambria" w:cs="Cambria"/>
          <w:color w:val="000000"/>
        </w:rPr>
      </w:pPr>
    </w:p>
    <w:p w14:paraId="000001BD"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b/>
          <w:color w:val="000000"/>
        </w:rPr>
        <w:t>YEAR 5:</w:t>
      </w:r>
      <w:r>
        <w:rPr>
          <w:rFonts w:ascii="Cambria" w:eastAsia="Cambria" w:hAnsi="Cambria" w:cs="Cambria"/>
          <w:color w:val="000000"/>
        </w:rPr>
        <w:t xml:space="preserve"> Defend your dissertation if you have not done so in the previous year.</w:t>
      </w:r>
    </w:p>
    <w:p w14:paraId="000001BE" w14:textId="77777777" w:rsidR="00CD3527" w:rsidRDefault="00CD3527">
      <w:pPr>
        <w:pBdr>
          <w:top w:val="nil"/>
          <w:left w:val="nil"/>
          <w:bottom w:val="nil"/>
          <w:right w:val="nil"/>
          <w:between w:val="nil"/>
        </w:pBdr>
        <w:rPr>
          <w:rFonts w:ascii="Cambria" w:eastAsia="Cambria" w:hAnsi="Cambria" w:cs="Cambria"/>
          <w:color w:val="000000"/>
        </w:rPr>
      </w:pPr>
    </w:p>
    <w:p w14:paraId="000001BF"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b/>
          <w:color w:val="000000"/>
        </w:rPr>
        <w:t>Everything Clinical</w:t>
      </w:r>
    </w:p>
    <w:p w14:paraId="000001C0" w14:textId="77777777" w:rsidR="00CD3527" w:rsidRDefault="007F4AED">
      <w:pPr>
        <w:numPr>
          <w:ilvl w:val="0"/>
          <w:numId w:val="7"/>
        </w:numPr>
        <w:pBdr>
          <w:top w:val="nil"/>
          <w:left w:val="nil"/>
          <w:bottom w:val="nil"/>
          <w:right w:val="nil"/>
          <w:between w:val="nil"/>
        </w:pBdr>
        <w:ind w:left="270" w:hanging="270"/>
        <w:rPr>
          <w:rFonts w:ascii="Cambria" w:eastAsia="Cambria" w:hAnsi="Cambria" w:cs="Cambria"/>
          <w:i/>
          <w:color w:val="000000"/>
        </w:rPr>
      </w:pPr>
      <w:r>
        <w:rPr>
          <w:rFonts w:ascii="Cambria" w:eastAsia="Cambria" w:hAnsi="Cambria" w:cs="Cambria"/>
          <w:i/>
          <w:color w:val="000000"/>
        </w:rPr>
        <w:t>When do I start seeing patients?</w:t>
      </w:r>
    </w:p>
    <w:p w14:paraId="000001C1"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As part of your first-year, second-semester intake course (CCPX 5539), you will be required to complete two assessments and one intake. Not infrequently, an intake will feel particularly successful: both you and the client will feel like continuing your work together. If this is the case, and both your intake/assessment supervisor and Dr. Rosa concur, you may be assigned this client as a psychotherapy case and may begin this work during the summer of your first year or the fall of your second year in the program. In fact, all students will begin seeing psychotherapy clients in the fall of their second year in the program. </w:t>
      </w:r>
    </w:p>
    <w:p w14:paraId="000001C2" w14:textId="77777777" w:rsidR="00CD3527" w:rsidRDefault="00CD3527">
      <w:pPr>
        <w:pBdr>
          <w:top w:val="nil"/>
          <w:left w:val="nil"/>
          <w:bottom w:val="nil"/>
          <w:right w:val="nil"/>
          <w:between w:val="nil"/>
        </w:pBdr>
        <w:rPr>
          <w:rFonts w:ascii="Cambria" w:eastAsia="Cambria" w:hAnsi="Cambria" w:cs="Cambria"/>
          <w:color w:val="000000"/>
        </w:rPr>
      </w:pPr>
    </w:p>
    <w:p w14:paraId="000001C3"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i/>
          <w:color w:val="000000"/>
        </w:rPr>
        <w:t>2. How are clinical supervisors assigned?</w:t>
      </w:r>
    </w:p>
    <w:p w14:paraId="000001C4"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Dr. Rosa, as head of the Dean Hope Center, is responsible for all psychotherapy supervisory assignments. Dr. Rosa draws from a list of licensed psychologists, all of whom volunteer their time to us, and many of whom have been working as supervisors for the program for many years. As a group, these supervisors represent a range of clinical orientations. Dr. Rosa, in collaboration with the instructor of the Assessment course, is also in charge of the first-year assessment supervisors.</w:t>
      </w:r>
    </w:p>
    <w:p w14:paraId="000001C5" w14:textId="77777777" w:rsidR="00CD3527" w:rsidRDefault="00CD3527">
      <w:pPr>
        <w:pBdr>
          <w:top w:val="nil"/>
          <w:left w:val="nil"/>
          <w:bottom w:val="nil"/>
          <w:right w:val="nil"/>
          <w:between w:val="nil"/>
        </w:pBdr>
        <w:rPr>
          <w:rFonts w:ascii="Cambria" w:eastAsia="Cambria" w:hAnsi="Cambria" w:cs="Cambria"/>
          <w:color w:val="000000"/>
        </w:rPr>
      </w:pPr>
    </w:p>
    <w:p w14:paraId="000001C6"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i/>
          <w:color w:val="000000"/>
        </w:rPr>
        <w:t>3. What if I don't like my supervisor?</w:t>
      </w:r>
    </w:p>
    <w:p w14:paraId="000001C7"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Only under extreme circumstances do we allow supervisory assignments to be changed during the course of a year. (This rule does not include those occasional circumstances when schedules simply don’t mesh). Our stance is that even those supervisors with very different styles and orientations from your own are likely to offer you opportunities to learn from your clinical experience. Indeed, sometimes we all learn best from unexpected sources, from those who challenge us to think or process material in a different way. However, if you believe that the supervisory relationship is seriously flawed, you should first discuss this with your supervisor—if necessary, on multiple occasions. If, after these discussions, you still feel dissatisfied, you should then consult your practicum instructor. If after discussion with your practicum instructor, both of you agree that there is an intractable problem with supervision, the issue should be brought to Dr. Rosa. </w:t>
      </w:r>
    </w:p>
    <w:p w14:paraId="000001C8" w14:textId="77777777" w:rsidR="00CD3527" w:rsidRDefault="00CD3527">
      <w:pPr>
        <w:pBdr>
          <w:top w:val="nil"/>
          <w:left w:val="nil"/>
          <w:bottom w:val="nil"/>
          <w:right w:val="nil"/>
          <w:between w:val="nil"/>
        </w:pBdr>
        <w:rPr>
          <w:rFonts w:ascii="Cambria" w:eastAsia="Cambria" w:hAnsi="Cambria" w:cs="Cambria"/>
          <w:color w:val="000000"/>
        </w:rPr>
      </w:pPr>
    </w:p>
    <w:p w14:paraId="000001C9"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i/>
          <w:color w:val="000000"/>
        </w:rPr>
        <w:t>4. How can I continue work in assessment past the first year?</w:t>
      </w:r>
    </w:p>
    <w:p w14:paraId="000001CA"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Dr. Rosa can sometimes arrange for students, under supervision, to continue doing assessments in the clinic. </w:t>
      </w:r>
    </w:p>
    <w:p w14:paraId="000001CB" w14:textId="77777777" w:rsidR="00CD3527" w:rsidRDefault="00CD3527">
      <w:pPr>
        <w:pBdr>
          <w:top w:val="nil"/>
          <w:left w:val="nil"/>
          <w:bottom w:val="nil"/>
          <w:right w:val="nil"/>
          <w:between w:val="nil"/>
        </w:pBdr>
        <w:rPr>
          <w:rFonts w:ascii="Cambria" w:eastAsia="Cambria" w:hAnsi="Cambria" w:cs="Cambria"/>
          <w:color w:val="000000"/>
        </w:rPr>
      </w:pPr>
    </w:p>
    <w:p w14:paraId="000001CC"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i/>
          <w:color w:val="000000"/>
        </w:rPr>
        <w:t>5. Is it possible to gain experience with group therapy at our clinic?</w:t>
      </w:r>
    </w:p>
    <w:p w14:paraId="000001CD" w14:textId="6A7B3008"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Yes, there are often groups that are part of the service activities of the Dean-Hope Center. In recent years, there have been parenting groups, a group for </w:t>
      </w:r>
      <w:r w:rsidR="002B2B76">
        <w:rPr>
          <w:rFonts w:ascii="Cambria" w:eastAsia="Cambria" w:hAnsi="Cambria" w:cs="Cambria"/>
          <w:color w:val="000000"/>
        </w:rPr>
        <w:t>i</w:t>
      </w:r>
      <w:r>
        <w:rPr>
          <w:rFonts w:ascii="Cambria" w:eastAsia="Cambria" w:hAnsi="Cambria" w:cs="Cambria"/>
          <w:color w:val="000000"/>
        </w:rPr>
        <w:t xml:space="preserve">nternational </w:t>
      </w:r>
      <w:r>
        <w:rPr>
          <w:rFonts w:ascii="Cambria" w:eastAsia="Cambria" w:hAnsi="Cambria" w:cs="Cambria"/>
          <w:color w:val="000000"/>
        </w:rPr>
        <w:lastRenderedPageBreak/>
        <w:t xml:space="preserve">students, and a DBT group, each of which has been run by doctoral students (under supervision). Interested students should consult with Dr. Rosa about these possibilities during their second year of training. </w:t>
      </w:r>
    </w:p>
    <w:p w14:paraId="000001CE" w14:textId="77777777" w:rsidR="00CD3527" w:rsidRDefault="00CD3527">
      <w:pPr>
        <w:pBdr>
          <w:top w:val="nil"/>
          <w:left w:val="nil"/>
          <w:bottom w:val="nil"/>
          <w:right w:val="nil"/>
          <w:between w:val="nil"/>
        </w:pBdr>
        <w:rPr>
          <w:rFonts w:ascii="Cambria" w:eastAsia="Cambria" w:hAnsi="Cambria" w:cs="Cambria"/>
          <w:color w:val="000000"/>
        </w:rPr>
      </w:pPr>
    </w:p>
    <w:p w14:paraId="000001CF"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i/>
          <w:color w:val="000000"/>
        </w:rPr>
        <w:t>6. Can I “minor” in neuropsychology?</w:t>
      </w:r>
    </w:p>
    <w:p w14:paraId="000001D0" w14:textId="12EE9A0C"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Students desiring training in the area of neuropsychology should meet with Dr. Rosa to plan a program of studies. In addition to the required courses in the curriculum (e.g., Brain and Behavior I and II) and the election of the Neuropsychological Assessment rotation, other courses (e.g., HBSK 5031, Human Clinical Neuropsychology; HBSK 5139, Fundamentals of Psychopharmacology) should be considered. Important: Students wishing this additional training in neuropsychology may need to take more than the credits required of our doctoral program.  </w:t>
      </w:r>
    </w:p>
    <w:p w14:paraId="000001D1" w14:textId="77777777" w:rsidR="00CD3527" w:rsidRDefault="00CD3527">
      <w:pPr>
        <w:pBdr>
          <w:top w:val="nil"/>
          <w:left w:val="nil"/>
          <w:bottom w:val="nil"/>
          <w:right w:val="nil"/>
          <w:between w:val="nil"/>
        </w:pBdr>
        <w:rPr>
          <w:rFonts w:ascii="Cambria" w:eastAsia="Cambria" w:hAnsi="Cambria" w:cs="Cambria"/>
          <w:color w:val="000000"/>
        </w:rPr>
      </w:pPr>
    </w:p>
    <w:p w14:paraId="000001D2" w14:textId="77777777" w:rsidR="00CD3527" w:rsidRDefault="007F4AED">
      <w:pPr>
        <w:pBdr>
          <w:top w:val="nil"/>
          <w:left w:val="nil"/>
          <w:bottom w:val="nil"/>
          <w:right w:val="nil"/>
          <w:between w:val="nil"/>
        </w:pBdr>
        <w:rPr>
          <w:rFonts w:ascii="Cambria" w:eastAsia="Cambria" w:hAnsi="Cambria" w:cs="Cambria"/>
          <w:color w:val="000000"/>
          <w:sz w:val="22"/>
          <w:szCs w:val="22"/>
        </w:rPr>
      </w:pPr>
      <w:r>
        <w:rPr>
          <w:rFonts w:ascii="Cambria" w:eastAsia="Cambria" w:hAnsi="Cambria" w:cs="Cambria"/>
          <w:color w:val="000000"/>
        </w:rPr>
        <w:t xml:space="preserve">7. </w:t>
      </w:r>
      <w:r>
        <w:rPr>
          <w:rFonts w:ascii="Cambria" w:eastAsia="Cambria" w:hAnsi="Cambria" w:cs="Cambria"/>
          <w:i/>
          <w:color w:val="000000"/>
        </w:rPr>
        <w:t>When should I go on externship?</w:t>
      </w:r>
    </w:p>
    <w:p w14:paraId="000001D3" w14:textId="003A3D18"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Your advisor will have significant and final input in this decision. Some students, with the advice and consent of their advisor, will choose to do externships during their third and fourth years. Other students</w:t>
      </w:r>
      <w:r w:rsidR="002B2B76">
        <w:rPr>
          <w:rFonts w:ascii="Cambria" w:eastAsia="Cambria" w:hAnsi="Cambria" w:cs="Cambria"/>
          <w:color w:val="000000"/>
        </w:rPr>
        <w:softHyphen/>
      </w:r>
      <w:r w:rsidR="002B2B76">
        <w:rPr>
          <w:rFonts w:ascii="Cambria" w:eastAsia="Cambria" w:hAnsi="Cambria" w:cs="Cambria"/>
          <w:color w:val="000000"/>
        </w:rPr>
        <w:softHyphen/>
        <w:t>—</w:t>
      </w:r>
      <w:r>
        <w:rPr>
          <w:rFonts w:ascii="Cambria" w:eastAsia="Cambria" w:hAnsi="Cambria" w:cs="Cambria"/>
          <w:color w:val="000000"/>
        </w:rPr>
        <w:t>typically (though not necessarily) those with advisors who have provided substantial funding through grants</w:t>
      </w:r>
      <w:r w:rsidR="002B2B76">
        <w:rPr>
          <w:rFonts w:ascii="Cambria" w:eastAsia="Cambria" w:hAnsi="Cambria" w:cs="Cambria"/>
          <w:color w:val="000000"/>
        </w:rPr>
        <w:t>—</w:t>
      </w:r>
      <w:r>
        <w:rPr>
          <w:rFonts w:ascii="Cambria" w:eastAsia="Cambria" w:hAnsi="Cambria" w:cs="Cambria"/>
          <w:color w:val="000000"/>
        </w:rPr>
        <w:t xml:space="preserve">will need to delay an externship until their fourth and fifth year, devoting their third year to further work on the lab’s research and their own dissertation. </w:t>
      </w:r>
    </w:p>
    <w:p w14:paraId="000001D4" w14:textId="77777777" w:rsidR="00CD3527" w:rsidRDefault="00CD3527">
      <w:pPr>
        <w:pBdr>
          <w:top w:val="nil"/>
          <w:left w:val="nil"/>
          <w:bottom w:val="nil"/>
          <w:right w:val="nil"/>
          <w:between w:val="nil"/>
        </w:pBdr>
        <w:rPr>
          <w:rFonts w:ascii="Cambria" w:eastAsia="Cambria" w:hAnsi="Cambria" w:cs="Cambria"/>
          <w:color w:val="000000"/>
        </w:rPr>
      </w:pPr>
    </w:p>
    <w:p w14:paraId="000001D5"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i/>
          <w:color w:val="000000"/>
        </w:rPr>
        <w:t>8.When should I go on internship?</w:t>
      </w:r>
    </w:p>
    <w:p w14:paraId="000001D6" w14:textId="0841F0EA" w:rsidR="00CD3527" w:rsidRDefault="007F4AED">
      <w:pPr>
        <w:rPr>
          <w:rFonts w:ascii="Cambria" w:eastAsia="Cambria" w:hAnsi="Cambria" w:cs="Cambria"/>
          <w:b/>
        </w:rPr>
      </w:pPr>
      <w:r>
        <w:rPr>
          <w:rFonts w:ascii="Cambria" w:eastAsia="Cambria" w:hAnsi="Cambria" w:cs="Cambria"/>
        </w:rPr>
        <w:t>It is likely you will go on internship either in your fifth or sixth year. This will depend on several interrelated factors, especially (a) your faculty advisor’s input and consent; (b) your readiness to apply, in particular, whether you have had sufficient externship experience to be a viable candidate, and whether you have achieved sufficient progress on your dissertation; (c) your submission of the online Internship Readiness Form by October 1 (</w:t>
      </w:r>
      <w:r>
        <w:rPr>
          <w:rFonts w:ascii="Cambria" w:eastAsia="Cambria" w:hAnsi="Cambria" w:cs="Cambria"/>
          <w:i/>
        </w:rPr>
        <w:t>see note below</w:t>
      </w:r>
      <w:r>
        <w:rPr>
          <w:rFonts w:ascii="Cambria" w:eastAsia="Cambria" w:hAnsi="Cambria" w:cs="Cambria"/>
        </w:rPr>
        <w:t xml:space="preserve">); and (d) explicit “approval” email from Professors </w:t>
      </w:r>
      <w:r w:rsidR="009E0221">
        <w:rPr>
          <w:rFonts w:ascii="Cambria" w:eastAsia="Cambria" w:hAnsi="Cambria" w:cs="Cambria"/>
        </w:rPr>
        <w:t xml:space="preserve">Farber and Verdeli </w:t>
      </w:r>
      <w:r>
        <w:rPr>
          <w:rFonts w:ascii="Cambria" w:eastAsia="Cambria" w:hAnsi="Cambria" w:cs="Cambria"/>
        </w:rPr>
        <w:t>(</w:t>
      </w:r>
      <w:r w:rsidR="009E0221">
        <w:rPr>
          <w:rFonts w:ascii="Cambria" w:eastAsia="Cambria" w:hAnsi="Cambria" w:cs="Cambria"/>
        </w:rPr>
        <w:t>co-</w:t>
      </w:r>
      <w:r>
        <w:rPr>
          <w:rFonts w:ascii="Cambria" w:eastAsia="Cambria" w:hAnsi="Cambria" w:cs="Cambria"/>
        </w:rPr>
        <w:t>DCT</w:t>
      </w:r>
      <w:r w:rsidR="009E0221">
        <w:rPr>
          <w:rFonts w:ascii="Cambria" w:eastAsia="Cambria" w:hAnsi="Cambria" w:cs="Cambria"/>
        </w:rPr>
        <w:t>s</w:t>
      </w:r>
      <w:r>
        <w:rPr>
          <w:rFonts w:ascii="Cambria" w:eastAsia="Cambria" w:hAnsi="Cambria" w:cs="Cambria"/>
        </w:rPr>
        <w:t xml:space="preserve">) prior to application submission. </w:t>
      </w:r>
      <w:r>
        <w:rPr>
          <w:rFonts w:ascii="Cambria" w:eastAsia="Cambria" w:hAnsi="Cambria" w:cs="Cambria"/>
          <w:b/>
        </w:rPr>
        <w:t>Applying for a fifth-year internship (in the fall of your fourth year) is absolutely contingent upon having a proposal hearing by then.</w:t>
      </w:r>
    </w:p>
    <w:p w14:paraId="000001D7" w14:textId="77777777" w:rsidR="00CD3527" w:rsidRDefault="00CD3527">
      <w:pPr>
        <w:pBdr>
          <w:top w:val="nil"/>
          <w:left w:val="nil"/>
          <w:bottom w:val="nil"/>
          <w:right w:val="nil"/>
          <w:between w:val="nil"/>
        </w:pBdr>
        <w:rPr>
          <w:rFonts w:ascii="Cambria" w:eastAsia="Cambria" w:hAnsi="Cambria" w:cs="Cambria"/>
          <w:color w:val="000000"/>
        </w:rPr>
      </w:pPr>
    </w:p>
    <w:p w14:paraId="000001D8" w14:textId="77777777" w:rsidR="00CD3527" w:rsidRDefault="007F4AED">
      <w:pPr>
        <w:pBdr>
          <w:top w:val="nil"/>
          <w:left w:val="nil"/>
          <w:bottom w:val="nil"/>
          <w:right w:val="nil"/>
          <w:between w:val="nil"/>
        </w:pBdr>
        <w:rPr>
          <w:rFonts w:ascii="Cambria" w:eastAsia="Cambria" w:hAnsi="Cambria" w:cs="Cambria"/>
          <w:b/>
          <w:color w:val="000000"/>
        </w:rPr>
      </w:pPr>
      <w:r>
        <w:rPr>
          <w:rFonts w:ascii="Cambria" w:eastAsia="Cambria" w:hAnsi="Cambria" w:cs="Cambria"/>
          <w:b/>
          <w:color w:val="FF0000"/>
        </w:rPr>
        <w:t xml:space="preserve">NOTE: </w:t>
      </w:r>
      <w:r>
        <w:rPr>
          <w:rFonts w:ascii="Cambria" w:eastAsia="Cambria" w:hAnsi="Cambria" w:cs="Cambria"/>
          <w:b/>
          <w:color w:val="000000"/>
        </w:rPr>
        <w:t>Follow this link to complete the online Internship Readiness Form</w:t>
      </w:r>
    </w:p>
    <w:p w14:paraId="000001D9" w14:textId="77777777" w:rsidR="00CD3527" w:rsidRDefault="007F4AED">
      <w:pPr>
        <w:rPr>
          <w:rFonts w:ascii="Cambria" w:eastAsia="Cambria" w:hAnsi="Cambria" w:cs="Cambria"/>
          <w:color w:val="000000"/>
        </w:rPr>
      </w:pPr>
      <w:r>
        <w:rPr>
          <w:rFonts w:ascii="Cambria" w:eastAsia="Cambria" w:hAnsi="Cambria" w:cs="Cambria"/>
          <w:color w:val="000000"/>
          <w:highlight w:val="white"/>
        </w:rPr>
        <w:t> </w:t>
      </w:r>
      <w:hyperlink r:id="rId36">
        <w:r>
          <w:rPr>
            <w:rFonts w:ascii="Cambria" w:eastAsia="Cambria" w:hAnsi="Cambria" w:cs="Cambria"/>
            <w:color w:val="000000"/>
            <w:highlight w:val="white"/>
            <w:u w:val="single"/>
          </w:rPr>
          <w:t>https://tccolumbia.qualtrics.com/jfe/form/SV_0v8Mm3d8wIVcs7z</w:t>
        </w:r>
      </w:hyperlink>
    </w:p>
    <w:p w14:paraId="000001DA" w14:textId="77777777" w:rsidR="00CD3527" w:rsidRDefault="00CD3527">
      <w:pPr>
        <w:pBdr>
          <w:top w:val="nil"/>
          <w:left w:val="nil"/>
          <w:bottom w:val="nil"/>
          <w:right w:val="nil"/>
          <w:between w:val="nil"/>
        </w:pBdr>
        <w:rPr>
          <w:rFonts w:ascii="Cambria" w:eastAsia="Cambria" w:hAnsi="Cambria" w:cs="Cambria"/>
          <w:color w:val="000000"/>
        </w:rPr>
      </w:pPr>
    </w:p>
    <w:p w14:paraId="1E2615DD" w14:textId="77777777" w:rsidR="006C04EE" w:rsidRDefault="007F4AED">
      <w:p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Everything Teaching</w:t>
      </w:r>
    </w:p>
    <w:p w14:paraId="3F41B1B9" w14:textId="77777777" w:rsidR="006C04EE" w:rsidRDefault="006C04EE">
      <w:pPr>
        <w:pBdr>
          <w:top w:val="nil"/>
          <w:left w:val="nil"/>
          <w:bottom w:val="nil"/>
          <w:right w:val="nil"/>
          <w:between w:val="nil"/>
        </w:pBdr>
        <w:rPr>
          <w:rFonts w:ascii="Cambria" w:eastAsia="Cambria" w:hAnsi="Cambria" w:cs="Cambria"/>
          <w:b/>
          <w:color w:val="000000"/>
        </w:rPr>
      </w:pPr>
    </w:p>
    <w:p w14:paraId="52710C11" w14:textId="77777777" w:rsidR="006C04EE" w:rsidRDefault="006C04EE" w:rsidP="006C04EE">
      <w:pPr>
        <w:numPr>
          <w:ilvl w:val="0"/>
          <w:numId w:val="35"/>
        </w:numPr>
        <w:pBdr>
          <w:top w:val="nil"/>
          <w:left w:val="nil"/>
          <w:bottom w:val="nil"/>
          <w:right w:val="nil"/>
          <w:between w:val="nil"/>
        </w:pBdr>
        <w:ind w:left="270" w:hanging="270"/>
        <w:rPr>
          <w:rFonts w:ascii="Cambria" w:eastAsia="Cambria" w:hAnsi="Cambria" w:cs="Cambria"/>
          <w:i/>
          <w:color w:val="000000"/>
        </w:rPr>
      </w:pPr>
      <w:r>
        <w:rPr>
          <w:rFonts w:ascii="Cambria" w:eastAsia="Cambria" w:hAnsi="Cambria" w:cs="Cambria"/>
          <w:i/>
          <w:color w:val="000000"/>
        </w:rPr>
        <w:t>How can I be a CA?</w:t>
      </w:r>
    </w:p>
    <w:p w14:paraId="245939CA" w14:textId="77777777" w:rsidR="006C04EE" w:rsidRDefault="006C04EE" w:rsidP="006C04EE">
      <w:pPr>
        <w:pBdr>
          <w:top w:val="nil"/>
          <w:left w:val="nil"/>
          <w:bottom w:val="nil"/>
          <w:right w:val="nil"/>
          <w:between w:val="nil"/>
        </w:pBdr>
        <w:rPr>
          <w:rFonts w:asciiTheme="minorHAnsi" w:hAnsiTheme="minorHAnsi"/>
          <w:color w:val="333333"/>
        </w:rPr>
      </w:pPr>
    </w:p>
    <w:p w14:paraId="0D4A953B" w14:textId="6A178BC0" w:rsidR="006C04EE" w:rsidRDefault="006C04EE" w:rsidP="006C04EE">
      <w:pPr>
        <w:pBdr>
          <w:top w:val="nil"/>
          <w:left w:val="nil"/>
          <w:bottom w:val="nil"/>
          <w:right w:val="nil"/>
          <w:between w:val="nil"/>
        </w:pBdr>
        <w:rPr>
          <w:rFonts w:ascii="Cambria" w:eastAsia="Cambria" w:hAnsi="Cambria" w:cs="Cambria"/>
          <w:iCs/>
          <w:color w:val="000000"/>
        </w:rPr>
      </w:pPr>
      <w:r w:rsidRPr="006E1C4B">
        <w:rPr>
          <w:rFonts w:ascii="Cambria" w:eastAsia="Cambria" w:hAnsi="Cambria" w:cs="Cambria"/>
          <w:i/>
          <w:color w:val="000000"/>
          <w:u w:val="single"/>
        </w:rPr>
        <w:t>Course Assistant (CA)</w:t>
      </w:r>
      <w:r w:rsidRPr="006E1C4B">
        <w:rPr>
          <w:rFonts w:ascii="Cambria" w:eastAsia="Cambria" w:hAnsi="Cambria" w:cs="Cambria"/>
          <w:i/>
          <w:color w:val="000000"/>
        </w:rPr>
        <w:t xml:space="preserve"> – </w:t>
      </w:r>
      <w:r w:rsidRPr="006E1C4B">
        <w:rPr>
          <w:rFonts w:ascii="Cambria" w:eastAsia="Cambria" w:hAnsi="Cambria" w:cs="Cambria"/>
          <w:iCs/>
          <w:color w:val="000000"/>
        </w:rPr>
        <w:t>A course assistant performs academically relevant services and receives a semi-monthly salary. The position of course assistant was created, in part, to provide graduate students with an opportunity to work more closely with faculty. Alternate titles such as teacher mentor, teaching assistant, lab assistant may </w:t>
      </w:r>
      <w:r w:rsidRPr="006E1C4B">
        <w:rPr>
          <w:rFonts w:ascii="Cambria" w:eastAsia="Cambria" w:hAnsi="Cambria" w:cs="Cambria"/>
          <w:b/>
          <w:bCs/>
          <w:iCs/>
          <w:color w:val="000000"/>
        </w:rPr>
        <w:t>not</w:t>
      </w:r>
      <w:r w:rsidRPr="006E1C4B">
        <w:rPr>
          <w:rFonts w:ascii="Cambria" w:eastAsia="Cambria" w:hAnsi="Cambria" w:cs="Cambria"/>
          <w:iCs/>
          <w:color w:val="000000"/>
        </w:rPr>
        <w:t> be used. Teachers College provides a course assistant for any course that meets a minimum enrollment (see guidelines below).</w:t>
      </w:r>
    </w:p>
    <w:p w14:paraId="69D69322" w14:textId="77777777" w:rsidR="006C04EE" w:rsidRPr="006E1C4B" w:rsidRDefault="006C04EE" w:rsidP="006C04EE">
      <w:pPr>
        <w:pBdr>
          <w:top w:val="nil"/>
          <w:left w:val="nil"/>
          <w:bottom w:val="nil"/>
          <w:right w:val="nil"/>
          <w:between w:val="nil"/>
        </w:pBdr>
        <w:rPr>
          <w:rFonts w:ascii="Cambria" w:eastAsia="Cambria" w:hAnsi="Cambria" w:cs="Cambria"/>
          <w:iCs/>
          <w:color w:val="000000"/>
        </w:rPr>
      </w:pPr>
    </w:p>
    <w:p w14:paraId="014BA03A" w14:textId="589763D9" w:rsidR="006C04EE" w:rsidRPr="006E1C4B" w:rsidRDefault="006C04EE" w:rsidP="006C04EE">
      <w:pPr>
        <w:pBdr>
          <w:top w:val="nil"/>
          <w:left w:val="nil"/>
          <w:bottom w:val="nil"/>
          <w:right w:val="nil"/>
          <w:between w:val="nil"/>
        </w:pBdr>
        <w:rPr>
          <w:rFonts w:ascii="Cambria" w:eastAsia="Cambria" w:hAnsi="Cambria" w:cs="Cambria"/>
          <w:iCs/>
          <w:color w:val="000000"/>
        </w:rPr>
      </w:pPr>
      <w:r w:rsidRPr="006E1C4B">
        <w:rPr>
          <w:rFonts w:ascii="Cambria" w:eastAsia="Cambria" w:hAnsi="Cambria" w:cs="Cambria"/>
          <w:iCs/>
          <w:color w:val="000000"/>
        </w:rPr>
        <w:lastRenderedPageBreak/>
        <w:t>Teachers College provides a CA for all courses that meet the following criteria:</w:t>
      </w:r>
    </w:p>
    <w:p w14:paraId="3B43419E" w14:textId="77777777" w:rsidR="006C04EE" w:rsidRPr="006C04EE" w:rsidRDefault="006C04EE" w:rsidP="006C04EE">
      <w:pPr>
        <w:pStyle w:val="ListParagraph"/>
        <w:numPr>
          <w:ilvl w:val="0"/>
          <w:numId w:val="99"/>
        </w:numPr>
        <w:pBdr>
          <w:top w:val="nil"/>
          <w:left w:val="nil"/>
          <w:bottom w:val="nil"/>
          <w:right w:val="nil"/>
          <w:between w:val="nil"/>
        </w:pBdr>
        <w:rPr>
          <w:rFonts w:ascii="Cambria" w:eastAsia="Cambria" w:hAnsi="Cambria" w:cs="Cambria"/>
          <w:iCs/>
          <w:color w:val="000000"/>
        </w:rPr>
      </w:pPr>
      <w:r w:rsidRPr="006C04EE">
        <w:rPr>
          <w:rFonts w:ascii="Cambria" w:eastAsia="Cambria" w:hAnsi="Cambria" w:cs="Cambria"/>
          <w:iCs/>
          <w:color w:val="000000"/>
        </w:rPr>
        <w:t>For three-point courses that meet the enrollment of 20 and have 25% virtual participation, one CA will be provided</w:t>
      </w:r>
    </w:p>
    <w:p w14:paraId="551804DF" w14:textId="2F6B1CF9" w:rsidR="006C04EE" w:rsidRPr="006C04EE" w:rsidRDefault="006C04EE" w:rsidP="006C04EE">
      <w:pPr>
        <w:pStyle w:val="ListParagraph"/>
        <w:numPr>
          <w:ilvl w:val="0"/>
          <w:numId w:val="99"/>
        </w:numPr>
        <w:pBdr>
          <w:top w:val="nil"/>
          <w:left w:val="nil"/>
          <w:bottom w:val="nil"/>
          <w:right w:val="nil"/>
          <w:between w:val="nil"/>
        </w:pBdr>
        <w:rPr>
          <w:rFonts w:ascii="Cambria" w:eastAsia="Cambria" w:hAnsi="Cambria" w:cs="Cambria"/>
          <w:iCs/>
          <w:color w:val="000000"/>
        </w:rPr>
      </w:pPr>
      <w:r w:rsidRPr="006C04EE">
        <w:rPr>
          <w:rFonts w:ascii="Cambria" w:eastAsia="Cambria" w:hAnsi="Cambria" w:cs="Cambria"/>
          <w:iCs/>
          <w:color w:val="000000"/>
        </w:rPr>
        <w:t>For three-point courses that meet an enrollment of 40, one CA will be provided</w:t>
      </w:r>
    </w:p>
    <w:p w14:paraId="157FCAFC" w14:textId="0FA41C49" w:rsidR="006C04EE" w:rsidRPr="006C04EE" w:rsidRDefault="006C04EE" w:rsidP="006C04EE">
      <w:pPr>
        <w:pStyle w:val="ListParagraph"/>
        <w:numPr>
          <w:ilvl w:val="0"/>
          <w:numId w:val="99"/>
        </w:numPr>
        <w:pBdr>
          <w:top w:val="nil"/>
          <w:left w:val="nil"/>
          <w:bottom w:val="nil"/>
          <w:right w:val="nil"/>
          <w:between w:val="nil"/>
        </w:pBdr>
        <w:rPr>
          <w:rFonts w:ascii="Cambria" w:eastAsia="Cambria" w:hAnsi="Cambria" w:cs="Cambria"/>
          <w:iCs/>
          <w:color w:val="000000"/>
        </w:rPr>
      </w:pPr>
      <w:r w:rsidRPr="006C04EE">
        <w:rPr>
          <w:rFonts w:ascii="Cambria" w:eastAsia="Cambria" w:hAnsi="Cambria" w:cs="Cambria"/>
          <w:iCs/>
          <w:color w:val="000000"/>
        </w:rPr>
        <w:t>For online three-point courses that meet an enrollment of 20, one (1) CA will be provided; for enrollments over 30, two (2) CAs will be provided.</w:t>
      </w:r>
    </w:p>
    <w:p w14:paraId="629AF592" w14:textId="77777777" w:rsidR="006C04EE" w:rsidRPr="006C04EE" w:rsidRDefault="006C04EE" w:rsidP="006C04EE">
      <w:pPr>
        <w:pStyle w:val="ListParagraph"/>
        <w:numPr>
          <w:ilvl w:val="0"/>
          <w:numId w:val="97"/>
        </w:numPr>
        <w:pBdr>
          <w:top w:val="nil"/>
          <w:left w:val="nil"/>
          <w:bottom w:val="nil"/>
          <w:right w:val="nil"/>
          <w:between w:val="nil"/>
        </w:pBdr>
        <w:rPr>
          <w:rFonts w:ascii="Cambria" w:eastAsia="Cambria" w:hAnsi="Cambria" w:cs="Cambria"/>
          <w:iCs/>
          <w:color w:val="000000"/>
        </w:rPr>
      </w:pPr>
      <w:r w:rsidRPr="006C04EE">
        <w:rPr>
          <w:rFonts w:ascii="Cambria" w:eastAsia="Cambria" w:hAnsi="Cambria" w:cs="Cambria"/>
          <w:iCs/>
          <w:color w:val="000000"/>
        </w:rPr>
        <w:t>Only Teachers College students (who are registered for a course or courses during the semester in which the course for which they will be a CA is being taught) may be hired as a CA. All CAs must be assigned to a specific course (the CA title and account number may not be used to hire a student who is not specifically working with an instructor in a course). CAs do not receive academic credit for working in that role for a course. No student may be a course assistant for a course in which they are enrolled as a student.</w:t>
      </w:r>
    </w:p>
    <w:p w14:paraId="6DCBBB93" w14:textId="77777777" w:rsidR="006C04EE" w:rsidRPr="006C04EE" w:rsidRDefault="006C04EE" w:rsidP="006C04EE">
      <w:pPr>
        <w:pStyle w:val="ListParagraph"/>
        <w:numPr>
          <w:ilvl w:val="0"/>
          <w:numId w:val="97"/>
        </w:numPr>
        <w:pBdr>
          <w:top w:val="nil"/>
          <w:left w:val="nil"/>
          <w:bottom w:val="nil"/>
          <w:right w:val="nil"/>
          <w:between w:val="nil"/>
        </w:pBdr>
        <w:rPr>
          <w:rFonts w:ascii="Cambria" w:eastAsia="Cambria" w:hAnsi="Cambria" w:cs="Cambria"/>
          <w:iCs/>
          <w:color w:val="000000"/>
        </w:rPr>
      </w:pPr>
      <w:r w:rsidRPr="006C04EE">
        <w:rPr>
          <w:rFonts w:ascii="Cambria" w:eastAsia="Cambria" w:hAnsi="Cambria" w:cs="Cambria"/>
          <w:iCs/>
          <w:color w:val="000000"/>
        </w:rPr>
        <w:t>CAs should not be reading or grading papers of other students unless they are a degree level higher (i.e., doctoral students may grade master’s student papers, but master’s students should not be grading other master’s student papers). CAs may not be asked to take on a faculty member’s teaching or grading role in the course (i.e., taking on the teaching of a class without the faculty member being present, or grading all assignments for the course). CA responsibilities may include processing book orders, preparing  and distributing course materials, putting course readings on reserve in the library, posting course materials and assignments online via Canvas, preparing Zoom links, creating breakout rooms, monitoring chats or doing closed-captioning during synchronous sessions, assisting with preparation of asynchronous sessions, holding office hours (or being available for student questions by email or in some other format), grading multiple choice exams, resolving room assignment issues, procuring media services such as overhead or computer projectors, issuing or collecting course related payments, and similarly limited roles.</w:t>
      </w:r>
    </w:p>
    <w:p w14:paraId="3BE7F8EE" w14:textId="77777777" w:rsidR="006C04EE" w:rsidRPr="006C04EE" w:rsidRDefault="006C04EE" w:rsidP="006C04EE">
      <w:pPr>
        <w:pStyle w:val="ListParagraph"/>
        <w:numPr>
          <w:ilvl w:val="0"/>
          <w:numId w:val="97"/>
        </w:numPr>
        <w:pBdr>
          <w:top w:val="nil"/>
          <w:left w:val="nil"/>
          <w:bottom w:val="nil"/>
          <w:right w:val="nil"/>
          <w:between w:val="nil"/>
        </w:pBdr>
        <w:rPr>
          <w:rFonts w:ascii="Cambria" w:eastAsia="Cambria" w:hAnsi="Cambria" w:cs="Cambria"/>
          <w:iCs/>
          <w:color w:val="000000"/>
        </w:rPr>
      </w:pPr>
      <w:r w:rsidRPr="006C04EE">
        <w:rPr>
          <w:rFonts w:ascii="Cambria" w:eastAsia="Cambria" w:hAnsi="Cambria" w:cs="Cambria"/>
          <w:iCs/>
          <w:color w:val="000000"/>
        </w:rPr>
        <w:t>CAs are compensated $1,238 per semester for the course in which they are working. They should not work more than 5.5 hours per week (per 3 credit course) during the Fall and Spring semesters and 13 hours per week during the Summer session of the course in which they are working.</w:t>
      </w:r>
    </w:p>
    <w:p w14:paraId="11E3D338" w14:textId="77777777" w:rsidR="006C04EE" w:rsidRPr="006C04EE" w:rsidRDefault="006C04EE" w:rsidP="006C04EE">
      <w:pPr>
        <w:pBdr>
          <w:top w:val="nil"/>
          <w:left w:val="nil"/>
          <w:bottom w:val="nil"/>
          <w:right w:val="nil"/>
          <w:between w:val="nil"/>
        </w:pBdr>
        <w:ind w:left="270"/>
        <w:rPr>
          <w:rFonts w:ascii="Cambria" w:eastAsia="Cambria" w:hAnsi="Cambria" w:cs="Cambria"/>
          <w:i/>
          <w:color w:val="000000"/>
        </w:rPr>
      </w:pPr>
    </w:p>
    <w:p w14:paraId="39D28238" w14:textId="77777777" w:rsidR="006C04EE" w:rsidRPr="006C04EE" w:rsidRDefault="006C04EE" w:rsidP="006C04EE">
      <w:pPr>
        <w:rPr>
          <w:color w:val="000000"/>
        </w:rPr>
      </w:pPr>
      <w:r w:rsidRPr="006C04EE">
        <w:rPr>
          <w:rFonts w:asciiTheme="minorHAnsi" w:hAnsiTheme="minorHAnsi"/>
          <w:color w:val="000000"/>
        </w:rPr>
        <w:t>If you know of a class that’s eligible for a CA—check course enrollments online—and you feel competent in helping teach this subject, you might approach</w:t>
      </w:r>
      <w:r w:rsidRPr="006C04EE">
        <w:rPr>
          <w:rFonts w:ascii="Cambria" w:hAnsi="Cambria"/>
          <w:color w:val="000000"/>
        </w:rPr>
        <w:t xml:space="preserve"> the course instructor to gauge his or her interest. In addition, either Dr. Blanchard (head of the MA program) or your faculty advisor may know of an opening or need.  </w:t>
      </w:r>
    </w:p>
    <w:p w14:paraId="000001DE" w14:textId="77777777" w:rsidR="00CD3527" w:rsidRDefault="00CD3527">
      <w:pPr>
        <w:pBdr>
          <w:top w:val="nil"/>
          <w:left w:val="nil"/>
          <w:bottom w:val="nil"/>
          <w:right w:val="nil"/>
          <w:between w:val="nil"/>
        </w:pBdr>
        <w:rPr>
          <w:rFonts w:ascii="Cambria" w:eastAsia="Cambria" w:hAnsi="Cambria" w:cs="Cambria"/>
          <w:i/>
          <w:color w:val="000000"/>
        </w:rPr>
      </w:pPr>
    </w:p>
    <w:p w14:paraId="000001DF"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i/>
          <w:color w:val="000000"/>
        </w:rPr>
        <w:t>2. Are there any teaching opportunities?</w:t>
      </w:r>
    </w:p>
    <w:p w14:paraId="000001E0"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Occasionally, doctoral students teach for the MA program when an advisor has specifically requested them to cover one of their courses (e.g., when that faculty member is on sabbatical).  </w:t>
      </w:r>
    </w:p>
    <w:p w14:paraId="000001E1" w14:textId="77777777" w:rsidR="00CD3527" w:rsidRDefault="00CD3527">
      <w:pPr>
        <w:pBdr>
          <w:top w:val="nil"/>
          <w:left w:val="nil"/>
          <w:bottom w:val="nil"/>
          <w:right w:val="nil"/>
          <w:between w:val="nil"/>
        </w:pBdr>
        <w:rPr>
          <w:rFonts w:ascii="Cambria" w:eastAsia="Cambria" w:hAnsi="Cambria" w:cs="Cambria"/>
          <w:color w:val="000000"/>
        </w:rPr>
      </w:pPr>
    </w:p>
    <w:p w14:paraId="000001E2" w14:textId="77777777" w:rsidR="00CD3527" w:rsidRDefault="007F4AED">
      <w:p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Everything Coursework</w:t>
      </w:r>
    </w:p>
    <w:p w14:paraId="000001E3" w14:textId="77777777" w:rsidR="00CD3527" w:rsidRDefault="007F4AED">
      <w:pPr>
        <w:pBdr>
          <w:top w:val="nil"/>
          <w:left w:val="nil"/>
          <w:bottom w:val="nil"/>
          <w:right w:val="nil"/>
          <w:between w:val="nil"/>
        </w:pBdr>
        <w:rPr>
          <w:rFonts w:ascii="Cambria" w:eastAsia="Cambria" w:hAnsi="Cambria" w:cs="Cambria"/>
          <w:i/>
          <w:color w:val="000000"/>
        </w:rPr>
      </w:pPr>
      <w:r>
        <w:rPr>
          <w:rFonts w:ascii="Cambria" w:eastAsia="Cambria" w:hAnsi="Cambria" w:cs="Cambria"/>
          <w:i/>
          <w:color w:val="000000"/>
        </w:rPr>
        <w:t xml:space="preserve">1. What if I want to transfer more than 12 credits from a previous graduate program? </w:t>
      </w:r>
    </w:p>
    <w:p w14:paraId="000001E4"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lastRenderedPageBreak/>
        <w:t xml:space="preserve">Sorry, but as we have noted in all our applications-related material, we only allow 12 graduate credits to be transferred from an outside college or university (although 18 from within TC). Again, this reflects our need (via APA’s mandate) to train our own students as much as possible. </w:t>
      </w:r>
    </w:p>
    <w:p w14:paraId="000001E5" w14:textId="77777777" w:rsidR="00CD3527" w:rsidRDefault="00CD3527">
      <w:pPr>
        <w:pBdr>
          <w:top w:val="nil"/>
          <w:left w:val="nil"/>
          <w:bottom w:val="nil"/>
          <w:right w:val="nil"/>
          <w:between w:val="nil"/>
        </w:pBdr>
        <w:rPr>
          <w:rFonts w:ascii="Cambria" w:eastAsia="Cambria" w:hAnsi="Cambria" w:cs="Cambria"/>
          <w:color w:val="000000"/>
        </w:rPr>
      </w:pPr>
    </w:p>
    <w:p w14:paraId="000001E6"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i/>
          <w:color w:val="000000"/>
        </w:rPr>
        <w:t>2. Is it OK to take classes at other universities?</w:t>
      </w:r>
    </w:p>
    <w:p w14:paraId="000001E7" w14:textId="4C8CCA76"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Generally, no. We are responsible for your training. However, it may be possible to take a course </w:t>
      </w:r>
      <w:r w:rsidR="003A6A4A">
        <w:rPr>
          <w:rFonts w:ascii="Cambria" w:eastAsia="Cambria" w:hAnsi="Cambria" w:cs="Cambria"/>
          <w:color w:val="000000"/>
        </w:rPr>
        <w:t xml:space="preserve">at </w:t>
      </w:r>
      <w:r>
        <w:rPr>
          <w:rFonts w:ascii="Cambria" w:eastAsia="Cambria" w:hAnsi="Cambria" w:cs="Cambria"/>
          <w:color w:val="000000"/>
        </w:rPr>
        <w:t>a</w:t>
      </w:r>
      <w:r w:rsidR="003A6A4A">
        <w:rPr>
          <w:rFonts w:ascii="Cambria" w:eastAsia="Cambria" w:hAnsi="Cambria" w:cs="Cambria"/>
          <w:color w:val="000000"/>
        </w:rPr>
        <w:t>n affiliated</w:t>
      </w:r>
      <w:r>
        <w:rPr>
          <w:rFonts w:ascii="Cambria" w:eastAsia="Cambria" w:hAnsi="Cambria" w:cs="Cambria"/>
          <w:color w:val="000000"/>
        </w:rPr>
        <w:t xml:space="preserve"> Columbia school (such as Mailman, </w:t>
      </w:r>
      <w:r w:rsidR="003A6A4A">
        <w:rPr>
          <w:rFonts w:ascii="Cambria" w:eastAsia="Cambria" w:hAnsi="Cambria" w:cs="Cambria"/>
          <w:color w:val="000000"/>
        </w:rPr>
        <w:t xml:space="preserve">the </w:t>
      </w:r>
      <w:r>
        <w:rPr>
          <w:rFonts w:ascii="Cambria" w:eastAsia="Cambria" w:hAnsi="Cambria" w:cs="Cambria"/>
          <w:color w:val="000000"/>
        </w:rPr>
        <w:t>Medical school, etc</w:t>
      </w:r>
      <w:r w:rsidR="004C4445">
        <w:rPr>
          <w:rFonts w:ascii="Cambria" w:eastAsia="Cambria" w:hAnsi="Cambria" w:cs="Cambria"/>
          <w:color w:val="000000"/>
        </w:rPr>
        <w:t>.</w:t>
      </w:r>
      <w:r>
        <w:rPr>
          <w:rFonts w:ascii="Cambria" w:eastAsia="Cambria" w:hAnsi="Cambria" w:cs="Cambria"/>
          <w:color w:val="000000"/>
        </w:rPr>
        <w:t>). Those interested should discuss this with their advisor and the DCT.</w:t>
      </w:r>
      <w:r>
        <w:rPr>
          <w:rFonts w:ascii="Cambria" w:eastAsia="Cambria" w:hAnsi="Cambria" w:cs="Cambria"/>
          <w:color w:val="000000"/>
        </w:rPr>
        <w:br/>
      </w:r>
    </w:p>
    <w:p w14:paraId="000001E8" w14:textId="77777777" w:rsidR="00CD3527" w:rsidRDefault="007F4AED">
      <w:p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Everything Finances</w:t>
      </w:r>
    </w:p>
    <w:p w14:paraId="000001E9"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i/>
          <w:color w:val="000000"/>
        </w:rPr>
        <w:t>What about Financial Aid?</w:t>
      </w:r>
      <w:r>
        <w:rPr>
          <w:rFonts w:ascii="Cambria" w:eastAsia="Cambria" w:hAnsi="Cambria" w:cs="Cambria"/>
          <w:color w:val="000000"/>
        </w:rPr>
        <w:t xml:space="preserve"> </w:t>
      </w:r>
    </w:p>
    <w:p w14:paraId="40862978" w14:textId="4764E19D" w:rsidR="004C4445"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Financial aid is available through several sources. </w:t>
      </w:r>
      <w:r w:rsidR="003A6A4A">
        <w:rPr>
          <w:rFonts w:ascii="Cambria" w:eastAsia="Cambria" w:hAnsi="Cambria" w:cs="Cambria"/>
          <w:color w:val="000000"/>
        </w:rPr>
        <w:t>Since 2020</w:t>
      </w:r>
      <w:r>
        <w:rPr>
          <w:rFonts w:ascii="Cambria" w:eastAsia="Cambria" w:hAnsi="Cambria" w:cs="Cambria"/>
          <w:color w:val="000000"/>
        </w:rPr>
        <w:t xml:space="preserve">, the college has begun to fully fund </w:t>
      </w:r>
      <w:r w:rsidR="003A6A4A">
        <w:rPr>
          <w:rFonts w:ascii="Cambria" w:eastAsia="Cambria" w:hAnsi="Cambria" w:cs="Cambria"/>
          <w:color w:val="000000"/>
        </w:rPr>
        <w:t xml:space="preserve">virtually all our incoming doctoral students for </w:t>
      </w:r>
      <w:r>
        <w:rPr>
          <w:rFonts w:ascii="Cambria" w:eastAsia="Cambria" w:hAnsi="Cambria" w:cs="Cambria"/>
          <w:color w:val="000000"/>
        </w:rPr>
        <w:t>four years</w:t>
      </w:r>
      <w:r w:rsidR="00774D13">
        <w:rPr>
          <w:rFonts w:ascii="Cambria" w:eastAsia="Cambria" w:hAnsi="Cambria" w:cs="Cambria"/>
          <w:color w:val="000000"/>
        </w:rPr>
        <w:t xml:space="preserve"> through the college doctoral fellowship fund (DRF)</w:t>
      </w:r>
      <w:r w:rsidR="003A6A4A">
        <w:rPr>
          <w:rFonts w:ascii="Cambria" w:eastAsia="Cambria" w:hAnsi="Cambria" w:cs="Cambria"/>
          <w:color w:val="000000"/>
        </w:rPr>
        <w:t>.</w:t>
      </w:r>
      <w:r>
        <w:rPr>
          <w:rFonts w:ascii="Cambria" w:eastAsia="Cambria" w:hAnsi="Cambria" w:cs="Cambria"/>
          <w:color w:val="000000"/>
        </w:rPr>
        <w:t xml:space="preserve"> In addition, full funding is sometimes available via faculty research grants, though of course these monies are available only to students working directly for that specific faculty member. In addition, the program draws upon several scholarship funds dedicated exclusively to doctoral students in our program, including the Jodi Lane Scholarship Fund (for students focusing on children and adolescents). Finally, since 1993, the program has granted partial scholarships via the James S. Scappaticcio Fellowship for “self-identified gay clinical doctoral students”; this fund also provides small grant-in-aid for research on topics “relevant to homosexuality, including psychological and/or psychosocial aspects of AIDS or HIV treatment.”</w:t>
      </w:r>
      <w:r w:rsidR="00774D13">
        <w:rPr>
          <w:rFonts w:ascii="Cambria" w:eastAsia="Cambria" w:hAnsi="Cambria" w:cs="Cambria"/>
          <w:color w:val="000000"/>
        </w:rPr>
        <w:t xml:space="preserve"> </w:t>
      </w:r>
    </w:p>
    <w:p w14:paraId="33AB5804" w14:textId="77777777" w:rsidR="004C4445" w:rsidRDefault="004C4445">
      <w:pPr>
        <w:pBdr>
          <w:top w:val="nil"/>
          <w:left w:val="nil"/>
          <w:bottom w:val="nil"/>
          <w:right w:val="nil"/>
          <w:between w:val="nil"/>
        </w:pBdr>
        <w:rPr>
          <w:rFonts w:ascii="Cambria" w:eastAsia="Cambria" w:hAnsi="Cambria" w:cs="Cambria"/>
          <w:color w:val="000000"/>
        </w:rPr>
      </w:pPr>
    </w:p>
    <w:p w14:paraId="000001EA" w14:textId="7B9DBFFB" w:rsidR="00CD3527" w:rsidRDefault="004C4445">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T</w:t>
      </w:r>
      <w:r w:rsidR="00774D13">
        <w:rPr>
          <w:rFonts w:ascii="Cambria" w:eastAsia="Cambria" w:hAnsi="Cambria" w:cs="Cambria"/>
          <w:color w:val="000000"/>
        </w:rPr>
        <w:t>hose receiving the DRF</w:t>
      </w:r>
      <w:r w:rsidR="006F40B6">
        <w:rPr>
          <w:rFonts w:ascii="Cambria" w:eastAsia="Cambria" w:hAnsi="Cambria" w:cs="Cambria"/>
          <w:color w:val="000000"/>
        </w:rPr>
        <w:t xml:space="preserve"> will be allotted 90 points from the college towards the 95 point program.  In addition, the program will provide five points when needed (priority is given to students who are not transferring points from the TC MA program or other graduate training program). Further, the program will provide up to 7 points to cover dissertation coursework (CCPX 8900 and TI 8900) if completed in th</w:t>
      </w:r>
      <w:r>
        <w:rPr>
          <w:rFonts w:ascii="Cambria" w:eastAsia="Cambria" w:hAnsi="Cambria" w:cs="Cambria"/>
          <w:color w:val="000000"/>
        </w:rPr>
        <w:t>e</w:t>
      </w:r>
      <w:r w:rsidR="006F40B6">
        <w:rPr>
          <w:rFonts w:ascii="Cambria" w:eastAsia="Cambria" w:hAnsi="Cambria" w:cs="Cambria"/>
          <w:color w:val="000000"/>
        </w:rPr>
        <w:t xml:space="preserve"> fourth or fifth year </w:t>
      </w:r>
      <w:r w:rsidR="006F40B6">
        <w:rPr>
          <w:rFonts w:ascii="Cambria" w:eastAsia="Cambria" w:hAnsi="Cambria" w:cs="Cambria"/>
          <w:i/>
          <w:iCs/>
          <w:color w:val="000000"/>
        </w:rPr>
        <w:t>before</w:t>
      </w:r>
      <w:r w:rsidR="006F40B6">
        <w:rPr>
          <w:rFonts w:ascii="Cambria" w:eastAsia="Cambria" w:hAnsi="Cambria" w:cs="Cambria"/>
          <w:color w:val="000000"/>
        </w:rPr>
        <w:t xml:space="preserve"> internship. Finally, the program is now able to cover supplemental college and course fees for Fall and Spring through the fifth year. Students will be responsible for paying health care coverage and associated health fees as well as any supplemental college fees should they choose to take courses in the summer.</w:t>
      </w:r>
    </w:p>
    <w:p w14:paraId="000001EB" w14:textId="77777777" w:rsidR="00CD3527" w:rsidRDefault="00CD3527">
      <w:pPr>
        <w:pBdr>
          <w:top w:val="nil"/>
          <w:left w:val="nil"/>
          <w:bottom w:val="nil"/>
          <w:right w:val="nil"/>
          <w:between w:val="nil"/>
        </w:pBdr>
        <w:rPr>
          <w:rFonts w:ascii="Cambria" w:eastAsia="Cambria" w:hAnsi="Cambria" w:cs="Cambria"/>
          <w:color w:val="000000"/>
        </w:rPr>
      </w:pPr>
    </w:p>
    <w:p w14:paraId="000001EC" w14:textId="63F02176"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b/>
          <w:color w:val="000000"/>
        </w:rPr>
        <w:t xml:space="preserve">NOTE: </w:t>
      </w:r>
      <w:r>
        <w:rPr>
          <w:rFonts w:ascii="Cambria" w:eastAsia="Cambria" w:hAnsi="Cambria" w:cs="Cambria"/>
          <w:color w:val="000000"/>
        </w:rPr>
        <w:t xml:space="preserve">Full funding (e.g., </w:t>
      </w:r>
      <w:r w:rsidR="004C4445">
        <w:rPr>
          <w:rFonts w:ascii="Cambria" w:eastAsia="Cambria" w:hAnsi="Cambria" w:cs="Cambria"/>
          <w:color w:val="000000"/>
        </w:rPr>
        <w:t xml:space="preserve">via a </w:t>
      </w:r>
      <w:r>
        <w:rPr>
          <w:rFonts w:ascii="Cambria" w:eastAsia="Cambria" w:hAnsi="Cambria" w:cs="Cambria"/>
          <w:color w:val="000000"/>
        </w:rPr>
        <w:t xml:space="preserve">doctoral fellowship) </w:t>
      </w:r>
      <w:r w:rsidR="004C4445">
        <w:rPr>
          <w:rFonts w:ascii="Cambria" w:eastAsia="Cambria" w:hAnsi="Cambria" w:cs="Cambria"/>
          <w:color w:val="000000"/>
        </w:rPr>
        <w:t xml:space="preserve">is </w:t>
      </w:r>
      <w:r>
        <w:rPr>
          <w:rFonts w:ascii="Cambria" w:eastAsia="Cambria" w:hAnsi="Cambria" w:cs="Cambria"/>
          <w:color w:val="000000"/>
        </w:rPr>
        <w:t xml:space="preserve">awarded at the discretion of the faculty advisor and students are expected to devote 20 hours weekly to research at their lab. Students must consider this work their priority and need to discuss with their faculty advisor the need for and hours required for additional funded work. </w:t>
      </w:r>
    </w:p>
    <w:p w14:paraId="5324799D" w14:textId="77777777" w:rsidR="00CC27B8" w:rsidRDefault="00CC27B8">
      <w:pPr>
        <w:pStyle w:val="Heading1"/>
      </w:pPr>
    </w:p>
    <w:p w14:paraId="5228C89B" w14:textId="77777777" w:rsidR="00CC27B8" w:rsidRDefault="00CC27B8">
      <w:pPr>
        <w:pStyle w:val="Heading1"/>
      </w:pPr>
    </w:p>
    <w:p w14:paraId="000001F0" w14:textId="3430E0B1" w:rsidR="00CD3527" w:rsidRDefault="007F4AED">
      <w:pPr>
        <w:pStyle w:val="Heading1"/>
      </w:pPr>
      <w:r>
        <w:t>Writing Papers in Clinical Psychology</w:t>
      </w:r>
    </w:p>
    <w:p w14:paraId="000001F1" w14:textId="77777777" w:rsidR="00CD3527" w:rsidRDefault="00CD3527">
      <w:pPr>
        <w:pBdr>
          <w:top w:val="nil"/>
          <w:left w:val="nil"/>
          <w:bottom w:val="nil"/>
          <w:right w:val="nil"/>
          <w:between w:val="nil"/>
        </w:pBdr>
        <w:rPr>
          <w:rFonts w:ascii="Cambria" w:eastAsia="Cambria" w:hAnsi="Cambria" w:cs="Cambria"/>
          <w:color w:val="000000"/>
        </w:rPr>
      </w:pPr>
    </w:p>
    <w:p w14:paraId="000001F2" w14:textId="614A0065"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The first rule is to </w:t>
      </w:r>
      <w:r>
        <w:rPr>
          <w:rFonts w:ascii="Cambria" w:eastAsia="Cambria" w:hAnsi="Cambria" w:cs="Cambria"/>
          <w:color w:val="000000"/>
          <w:u w:val="single"/>
        </w:rPr>
        <w:t>proofread everything you hand in</w:t>
      </w:r>
      <w:r>
        <w:rPr>
          <w:rFonts w:ascii="Cambria" w:eastAsia="Cambria" w:hAnsi="Cambria" w:cs="Cambria"/>
          <w:color w:val="000000"/>
        </w:rPr>
        <w:t xml:space="preserve">. The second rule is that all written work (take-home exams, term papers, Second-Year Projects, research proposals, dissertation drafts) must conform to the style regulations of the </w:t>
      </w:r>
      <w:r>
        <w:rPr>
          <w:rFonts w:ascii="Cambria" w:eastAsia="Cambria" w:hAnsi="Cambria" w:cs="Cambria"/>
          <w:i/>
          <w:color w:val="000000"/>
        </w:rPr>
        <w:t>Publication Manual of the American Psychological Association</w:t>
      </w:r>
      <w:r>
        <w:rPr>
          <w:rFonts w:ascii="Cambria" w:eastAsia="Cambria" w:hAnsi="Cambria" w:cs="Cambria"/>
          <w:color w:val="000000"/>
        </w:rPr>
        <w:t xml:space="preserve"> (7th ed., 2019). It is strongly suggested that you read the Manual several times, reading it again before you prepare the final drafts of papers you are about to hand in. This will save you a great deal of time when you need it most—during the preparation of your dissertation. Another valuable resource for writing in APA style is Szuchman’s (2014), </w:t>
      </w:r>
      <w:r>
        <w:rPr>
          <w:rFonts w:ascii="Cambria" w:eastAsia="Cambria" w:hAnsi="Cambria" w:cs="Cambria"/>
          <w:i/>
          <w:color w:val="000000"/>
        </w:rPr>
        <w:t>Writing with Style: APA Style Made Easy</w:t>
      </w:r>
      <w:r>
        <w:rPr>
          <w:rFonts w:ascii="Cambria" w:eastAsia="Cambria" w:hAnsi="Cambria" w:cs="Cambria"/>
          <w:color w:val="000000"/>
        </w:rPr>
        <w:t xml:space="preserve"> (6</w:t>
      </w:r>
      <w:r>
        <w:rPr>
          <w:rFonts w:ascii="Cambria" w:eastAsia="Cambria" w:hAnsi="Cambria" w:cs="Cambria"/>
          <w:color w:val="000000"/>
          <w:vertAlign w:val="superscript"/>
        </w:rPr>
        <w:t>th</w:t>
      </w:r>
      <w:r>
        <w:rPr>
          <w:rFonts w:ascii="Cambria" w:eastAsia="Cambria" w:hAnsi="Cambria" w:cs="Cambria"/>
          <w:color w:val="000000"/>
        </w:rPr>
        <w:t xml:space="preserve"> Ed.). An excellent source for determining how to present your results, including the formatting of tables, is Nicol and Pexman (2010), </w:t>
      </w:r>
      <w:r>
        <w:rPr>
          <w:rFonts w:ascii="Cambria" w:eastAsia="Cambria" w:hAnsi="Cambria" w:cs="Cambria"/>
          <w:i/>
          <w:color w:val="000000"/>
        </w:rPr>
        <w:t>Presenting Your Findings</w:t>
      </w:r>
      <w:r>
        <w:rPr>
          <w:rFonts w:ascii="Cambria" w:eastAsia="Cambria" w:hAnsi="Cambria" w:cs="Cambria"/>
          <w:color w:val="000000"/>
        </w:rPr>
        <w:t xml:space="preserve"> (APA).</w:t>
      </w:r>
    </w:p>
    <w:p w14:paraId="000001F3" w14:textId="77777777" w:rsidR="00CD3527" w:rsidRDefault="00CD3527">
      <w:pPr>
        <w:pBdr>
          <w:top w:val="nil"/>
          <w:left w:val="nil"/>
          <w:bottom w:val="nil"/>
          <w:right w:val="nil"/>
          <w:between w:val="nil"/>
        </w:pBdr>
        <w:rPr>
          <w:rFonts w:ascii="Cambria" w:eastAsia="Cambria" w:hAnsi="Cambria" w:cs="Cambria"/>
          <w:color w:val="000000"/>
        </w:rPr>
      </w:pPr>
    </w:p>
    <w:p w14:paraId="000001F4"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Note that the APA standards are designed to promote a uniform style in psychological journals. Many of the specific suggestions, particularly those related to headings and tables, also serve the interest of assuring maximum clarity. Although much of what is in the </w:t>
      </w:r>
      <w:r>
        <w:rPr>
          <w:rFonts w:ascii="Cambria" w:eastAsia="Cambria" w:hAnsi="Cambria" w:cs="Cambria"/>
          <w:i/>
          <w:color w:val="000000"/>
        </w:rPr>
        <w:t>Manual</w:t>
      </w:r>
      <w:r>
        <w:rPr>
          <w:rFonts w:ascii="Cambria" w:eastAsia="Cambria" w:hAnsi="Cambria" w:cs="Cambria"/>
          <w:color w:val="000000"/>
        </w:rPr>
        <w:t xml:space="preserve"> may seem arbitrary and nitpicking, it provides a set of guidelines for professional writing in our field.</w:t>
      </w:r>
    </w:p>
    <w:p w14:paraId="000001F5" w14:textId="77777777" w:rsidR="00CD3527" w:rsidRDefault="00CD3527">
      <w:pPr>
        <w:pBdr>
          <w:top w:val="nil"/>
          <w:left w:val="nil"/>
          <w:bottom w:val="nil"/>
          <w:right w:val="nil"/>
          <w:between w:val="nil"/>
        </w:pBdr>
        <w:rPr>
          <w:rFonts w:ascii="Cambria" w:eastAsia="Cambria" w:hAnsi="Cambria" w:cs="Cambria"/>
          <w:color w:val="000000"/>
        </w:rPr>
      </w:pPr>
    </w:p>
    <w:p w14:paraId="000001F6"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The following is a list of the principles most frequently violated by students. Keep it handy so that, in addition to your rereading of the </w:t>
      </w:r>
      <w:r>
        <w:rPr>
          <w:rFonts w:ascii="Cambria" w:eastAsia="Cambria" w:hAnsi="Cambria" w:cs="Cambria"/>
          <w:i/>
          <w:color w:val="000000"/>
        </w:rPr>
        <w:t>Manual</w:t>
      </w:r>
      <w:r>
        <w:rPr>
          <w:rFonts w:ascii="Cambria" w:eastAsia="Cambria" w:hAnsi="Cambria" w:cs="Cambria"/>
          <w:color w:val="000000"/>
        </w:rPr>
        <w:t>, you can refer to it while writing, since these seem to present the greatest amount of difficulty to students.</w:t>
      </w:r>
    </w:p>
    <w:p w14:paraId="000001F7" w14:textId="77777777" w:rsidR="00CD3527" w:rsidRDefault="00CD3527">
      <w:pPr>
        <w:pBdr>
          <w:top w:val="nil"/>
          <w:left w:val="nil"/>
          <w:bottom w:val="nil"/>
          <w:right w:val="nil"/>
          <w:between w:val="nil"/>
        </w:pBdr>
        <w:rPr>
          <w:rFonts w:ascii="Cambria" w:eastAsia="Cambria" w:hAnsi="Cambria" w:cs="Cambria"/>
          <w:color w:val="000000"/>
        </w:rPr>
      </w:pPr>
    </w:p>
    <w:p w14:paraId="000001F8" w14:textId="77777777" w:rsidR="00CD3527" w:rsidRDefault="007F4AED">
      <w:pPr>
        <w:numPr>
          <w:ilvl w:val="0"/>
          <w:numId w:val="61"/>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 Numbers. Most numbers under l0 and all numbers that begin sentences are written out in words.</w:t>
      </w:r>
    </w:p>
    <w:p w14:paraId="000001F9" w14:textId="77777777" w:rsidR="00CD3527" w:rsidRDefault="00CD3527">
      <w:pPr>
        <w:pBdr>
          <w:top w:val="nil"/>
          <w:left w:val="nil"/>
          <w:bottom w:val="nil"/>
          <w:right w:val="nil"/>
          <w:between w:val="nil"/>
        </w:pBdr>
        <w:ind w:left="780"/>
        <w:rPr>
          <w:rFonts w:ascii="Cambria" w:eastAsia="Cambria" w:hAnsi="Cambria" w:cs="Cambria"/>
          <w:color w:val="000000"/>
        </w:rPr>
      </w:pPr>
    </w:p>
    <w:p w14:paraId="000001FA" w14:textId="77777777" w:rsidR="00CD3527" w:rsidRDefault="007F4AED">
      <w:pPr>
        <w:numPr>
          <w:ilvl w:val="0"/>
          <w:numId w:val="61"/>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Decimals. The rule is that a zero is not used before the decimal point in numbers smaller than one. What is particularly irksome is when correlation coefficients are presented with the unnecessary zero, since such coefficients can range only from plus one to minus one. Also, correlation coefficients should be carried only to two places, regardless of what the computer produces (</w:t>
      </w:r>
      <w:r>
        <w:rPr>
          <w:rFonts w:ascii="Cambria" w:eastAsia="Cambria" w:hAnsi="Cambria" w:cs="Cambria"/>
          <w:i/>
          <w:color w:val="000000"/>
        </w:rPr>
        <w:t>r</w:t>
      </w:r>
      <w:r>
        <w:rPr>
          <w:rFonts w:ascii="Cambria" w:eastAsia="Cambria" w:hAnsi="Cambria" w:cs="Cambria"/>
          <w:color w:val="000000"/>
        </w:rPr>
        <w:t xml:space="preserve"> = .66, not </w:t>
      </w:r>
      <w:r>
        <w:rPr>
          <w:rFonts w:ascii="Cambria" w:eastAsia="Cambria" w:hAnsi="Cambria" w:cs="Cambria"/>
          <w:i/>
          <w:color w:val="000000"/>
        </w:rPr>
        <w:t>r</w:t>
      </w:r>
      <w:r>
        <w:rPr>
          <w:rFonts w:ascii="Cambria" w:eastAsia="Cambria" w:hAnsi="Cambria" w:cs="Cambria"/>
          <w:color w:val="000000"/>
        </w:rPr>
        <w:t xml:space="preserve"> = 0.657l8). Means and standard deviations should not be carried beyond two decimal places. </w:t>
      </w:r>
    </w:p>
    <w:p w14:paraId="000001FB" w14:textId="77777777" w:rsidR="00CD3527" w:rsidRDefault="00CD3527">
      <w:pPr>
        <w:pBdr>
          <w:top w:val="nil"/>
          <w:left w:val="nil"/>
          <w:bottom w:val="nil"/>
          <w:right w:val="nil"/>
          <w:between w:val="nil"/>
        </w:pBdr>
        <w:ind w:left="720" w:hanging="720"/>
        <w:rPr>
          <w:rFonts w:ascii="Cambria" w:eastAsia="Cambria" w:hAnsi="Cambria" w:cs="Cambria"/>
          <w:color w:val="000000"/>
        </w:rPr>
      </w:pPr>
    </w:p>
    <w:p w14:paraId="000001FC" w14:textId="77777777" w:rsidR="00CD3527" w:rsidRDefault="007F4AED">
      <w:pPr>
        <w:numPr>
          <w:ilvl w:val="0"/>
          <w:numId w:val="61"/>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Tables and Text. The purpose of a table is to summarize data. The title of the table should communicate exactly and inclusively what its content is. The material in tables may be summarized but should not be repeated in the text.</w:t>
      </w:r>
    </w:p>
    <w:p w14:paraId="000001FD" w14:textId="77777777" w:rsidR="00CD3527" w:rsidRDefault="00CD3527">
      <w:pPr>
        <w:pBdr>
          <w:top w:val="nil"/>
          <w:left w:val="nil"/>
          <w:bottom w:val="nil"/>
          <w:right w:val="nil"/>
          <w:between w:val="nil"/>
        </w:pBdr>
        <w:ind w:left="720" w:hanging="720"/>
        <w:rPr>
          <w:rFonts w:ascii="Cambria" w:eastAsia="Cambria" w:hAnsi="Cambria" w:cs="Cambria"/>
          <w:color w:val="000000"/>
        </w:rPr>
      </w:pPr>
    </w:p>
    <w:p w14:paraId="000001FE" w14:textId="77777777" w:rsidR="00CD3527" w:rsidRDefault="007F4AED">
      <w:pPr>
        <w:numPr>
          <w:ilvl w:val="0"/>
          <w:numId w:val="61"/>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Quotations. A direct quotation must be completely accurate, including spelling and punctuation. It must be referenced by author, year, and page number.</w:t>
      </w:r>
    </w:p>
    <w:p w14:paraId="000001FF" w14:textId="77777777" w:rsidR="00CD3527" w:rsidRDefault="00CD3527">
      <w:pPr>
        <w:pBdr>
          <w:top w:val="nil"/>
          <w:left w:val="nil"/>
          <w:bottom w:val="nil"/>
          <w:right w:val="nil"/>
          <w:between w:val="nil"/>
        </w:pBdr>
        <w:ind w:left="720"/>
        <w:rPr>
          <w:rFonts w:ascii="Cambria" w:eastAsia="Cambria" w:hAnsi="Cambria" w:cs="Cambria"/>
          <w:color w:val="000000"/>
        </w:rPr>
      </w:pPr>
    </w:p>
    <w:p w14:paraId="00000200" w14:textId="77777777" w:rsidR="00CD3527" w:rsidRDefault="007F4AED">
      <w:pPr>
        <w:numPr>
          <w:ilvl w:val="0"/>
          <w:numId w:val="61"/>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lastRenderedPageBreak/>
        <w:t>References in Text. As of the new 7</w:t>
      </w:r>
      <w:r>
        <w:rPr>
          <w:rFonts w:ascii="Cambria" w:eastAsia="Cambria" w:hAnsi="Cambria" w:cs="Cambria"/>
          <w:color w:val="000000"/>
          <w:vertAlign w:val="superscript"/>
        </w:rPr>
        <w:t>th</w:t>
      </w:r>
      <w:r>
        <w:rPr>
          <w:rFonts w:ascii="Cambria" w:eastAsia="Cambria" w:hAnsi="Cambria" w:cs="Cambria"/>
          <w:color w:val="000000"/>
        </w:rPr>
        <w:t xml:space="preserve"> edition of the </w:t>
      </w:r>
      <w:r>
        <w:rPr>
          <w:rFonts w:ascii="Cambria" w:eastAsia="Cambria" w:hAnsi="Cambria" w:cs="Cambria"/>
          <w:i/>
          <w:color w:val="000000"/>
        </w:rPr>
        <w:t>Style Manual</w:t>
      </w:r>
      <w:r>
        <w:rPr>
          <w:rFonts w:ascii="Cambria" w:eastAsia="Cambria" w:hAnsi="Cambria" w:cs="Cambria"/>
          <w:color w:val="000000"/>
        </w:rPr>
        <w:t>, for first and subsequent citations of a reference with 3 or more authors use the first author's last name followed by "et al." For references within parentheses that have two authors, use an ampersand (&amp;) rather than "and."</w:t>
      </w:r>
    </w:p>
    <w:p w14:paraId="00000201" w14:textId="77777777" w:rsidR="00CD3527" w:rsidRDefault="00CD3527">
      <w:pPr>
        <w:pBdr>
          <w:top w:val="nil"/>
          <w:left w:val="nil"/>
          <w:bottom w:val="nil"/>
          <w:right w:val="nil"/>
          <w:between w:val="nil"/>
        </w:pBdr>
        <w:ind w:left="780"/>
        <w:rPr>
          <w:rFonts w:ascii="Cambria" w:eastAsia="Cambria" w:hAnsi="Cambria" w:cs="Cambria"/>
          <w:color w:val="000000"/>
        </w:rPr>
      </w:pPr>
    </w:p>
    <w:p w14:paraId="00000202" w14:textId="77777777" w:rsidR="00CD3527" w:rsidRDefault="007F4AED">
      <w:pPr>
        <w:numPr>
          <w:ilvl w:val="0"/>
          <w:numId w:val="61"/>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Multiple References in Parentheses. When several citations are being presented in parentheses, the proper order of citations is alphabetical, not chronological, and certainly not random.</w:t>
      </w:r>
    </w:p>
    <w:p w14:paraId="00000203" w14:textId="77777777" w:rsidR="00CD3527" w:rsidRDefault="00CD3527">
      <w:pPr>
        <w:pBdr>
          <w:top w:val="nil"/>
          <w:left w:val="nil"/>
          <w:bottom w:val="nil"/>
          <w:right w:val="nil"/>
          <w:between w:val="nil"/>
        </w:pBdr>
        <w:ind w:left="720" w:hanging="720"/>
        <w:rPr>
          <w:rFonts w:ascii="Cambria" w:eastAsia="Cambria" w:hAnsi="Cambria" w:cs="Cambria"/>
          <w:color w:val="000000"/>
        </w:rPr>
      </w:pPr>
    </w:p>
    <w:p w14:paraId="00000204" w14:textId="77777777" w:rsidR="00CD3527" w:rsidRDefault="007F4AED">
      <w:pPr>
        <w:numPr>
          <w:ilvl w:val="0"/>
          <w:numId w:val="61"/>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Latin abbreviations like "e.g.", "i.e.", and the like, are acceptable only in parenthetical material. In the text, say it in English, and spell it out.</w:t>
      </w:r>
    </w:p>
    <w:p w14:paraId="00000205" w14:textId="77777777" w:rsidR="00CD3527" w:rsidRDefault="00CD3527">
      <w:pPr>
        <w:pBdr>
          <w:top w:val="nil"/>
          <w:left w:val="nil"/>
          <w:bottom w:val="nil"/>
          <w:right w:val="nil"/>
          <w:between w:val="nil"/>
        </w:pBdr>
        <w:ind w:left="720"/>
        <w:rPr>
          <w:rFonts w:ascii="Cambria" w:eastAsia="Cambria" w:hAnsi="Cambria" w:cs="Cambria"/>
          <w:color w:val="000000"/>
        </w:rPr>
      </w:pPr>
    </w:p>
    <w:p w14:paraId="00000206" w14:textId="77777777" w:rsidR="00CD3527" w:rsidRDefault="007F4AED">
      <w:pPr>
        <w:numPr>
          <w:ilvl w:val="0"/>
          <w:numId w:val="61"/>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Reference List. The list of articles and books at the end of the paper is titled References, not Bibliography.</w:t>
      </w:r>
    </w:p>
    <w:p w14:paraId="00000207" w14:textId="77777777" w:rsidR="00CD3527" w:rsidRDefault="00CD3527">
      <w:pPr>
        <w:pBdr>
          <w:top w:val="nil"/>
          <w:left w:val="nil"/>
          <w:bottom w:val="nil"/>
          <w:right w:val="nil"/>
          <w:between w:val="nil"/>
        </w:pBdr>
        <w:ind w:left="720" w:hanging="720"/>
        <w:rPr>
          <w:rFonts w:ascii="Cambria" w:eastAsia="Cambria" w:hAnsi="Cambria" w:cs="Cambria"/>
          <w:color w:val="000000"/>
        </w:rPr>
      </w:pPr>
    </w:p>
    <w:p w14:paraId="00000208" w14:textId="77777777" w:rsidR="00CD3527" w:rsidRDefault="007F4AED">
      <w:pPr>
        <w:numPr>
          <w:ilvl w:val="0"/>
          <w:numId w:val="61"/>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Punctuation and Spelling. Several specific rules are presented in the Manual. Some of these are idiosyncratic to APA; some are more general grammatical reminders. If you know that you are a poor speller, pay particular attention to spell checker so that you can make corrections before the final draft. The rules most frequently violated by students are as follows:</w:t>
      </w:r>
    </w:p>
    <w:p w14:paraId="00000209" w14:textId="77777777" w:rsidR="00CD3527" w:rsidRDefault="00CD3527">
      <w:pPr>
        <w:pBdr>
          <w:top w:val="nil"/>
          <w:left w:val="nil"/>
          <w:bottom w:val="nil"/>
          <w:right w:val="nil"/>
          <w:between w:val="nil"/>
        </w:pBdr>
        <w:ind w:left="720" w:hanging="720"/>
        <w:rPr>
          <w:rFonts w:ascii="Cambria" w:eastAsia="Cambria" w:hAnsi="Cambria" w:cs="Cambria"/>
          <w:color w:val="000000"/>
        </w:rPr>
      </w:pPr>
    </w:p>
    <w:p w14:paraId="0000020A" w14:textId="77777777" w:rsidR="00CD3527" w:rsidRDefault="007F4AED">
      <w:pPr>
        <w:numPr>
          <w:ilvl w:val="1"/>
          <w:numId w:val="61"/>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In a series of three or more, a comma precedes the final "and" or "or."</w:t>
      </w:r>
    </w:p>
    <w:p w14:paraId="0000020B" w14:textId="77777777" w:rsidR="00CD3527" w:rsidRDefault="00CD3527">
      <w:pPr>
        <w:pBdr>
          <w:top w:val="nil"/>
          <w:left w:val="nil"/>
          <w:bottom w:val="nil"/>
          <w:right w:val="nil"/>
          <w:between w:val="nil"/>
        </w:pBdr>
        <w:ind w:left="1500"/>
        <w:rPr>
          <w:rFonts w:ascii="Cambria" w:eastAsia="Cambria" w:hAnsi="Cambria" w:cs="Cambria"/>
          <w:color w:val="000000"/>
        </w:rPr>
      </w:pPr>
    </w:p>
    <w:p w14:paraId="0000020C" w14:textId="77777777" w:rsidR="00CD3527" w:rsidRDefault="007F4AED">
      <w:pPr>
        <w:numPr>
          <w:ilvl w:val="1"/>
          <w:numId w:val="61"/>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Words with prefixes like "pre," "anti," "non," "multi," "inter," and the like, are generally not hyphenated. </w:t>
      </w:r>
    </w:p>
    <w:p w14:paraId="0000020D" w14:textId="77777777" w:rsidR="00CD3527" w:rsidRDefault="00CD3527">
      <w:pPr>
        <w:pBdr>
          <w:top w:val="nil"/>
          <w:left w:val="nil"/>
          <w:bottom w:val="nil"/>
          <w:right w:val="nil"/>
          <w:between w:val="nil"/>
        </w:pBdr>
        <w:ind w:left="720" w:hanging="720"/>
        <w:rPr>
          <w:rFonts w:ascii="Cambria" w:eastAsia="Cambria" w:hAnsi="Cambria" w:cs="Cambria"/>
          <w:color w:val="000000"/>
        </w:rPr>
      </w:pPr>
    </w:p>
    <w:p w14:paraId="0000020E" w14:textId="77777777" w:rsidR="00CD3527" w:rsidRDefault="007F4AED">
      <w:pPr>
        <w:numPr>
          <w:ilvl w:val="1"/>
          <w:numId w:val="61"/>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DATA, CRITERIA, and PHENOMENA are plural words and require plural verbs. The respective singular words are DATUM, CRITERION, and PHENOMENON.</w:t>
      </w:r>
    </w:p>
    <w:p w14:paraId="0000020F" w14:textId="77777777" w:rsidR="00CD3527" w:rsidRDefault="00CD3527">
      <w:pPr>
        <w:pBdr>
          <w:top w:val="nil"/>
          <w:left w:val="nil"/>
          <w:bottom w:val="nil"/>
          <w:right w:val="nil"/>
          <w:between w:val="nil"/>
        </w:pBdr>
        <w:ind w:left="720" w:hanging="720"/>
        <w:rPr>
          <w:rFonts w:ascii="Cambria" w:eastAsia="Cambria" w:hAnsi="Cambria" w:cs="Cambria"/>
          <w:color w:val="000000"/>
        </w:rPr>
      </w:pPr>
    </w:p>
    <w:p w14:paraId="00000210" w14:textId="77777777" w:rsidR="00CD3527" w:rsidRDefault="007F4AED">
      <w:pPr>
        <w:numPr>
          <w:ilvl w:val="1"/>
          <w:numId w:val="61"/>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The chapter of section in which you describe your procedures, participants, and instruments is called Method, not Methodology or Methods. And, the individuals who participated in your study should be referred to as "participants" rather than "subjects."</w:t>
      </w:r>
    </w:p>
    <w:p w14:paraId="00000211" w14:textId="77777777" w:rsidR="00CD3527" w:rsidRDefault="00CD3527">
      <w:pPr>
        <w:pBdr>
          <w:top w:val="nil"/>
          <w:left w:val="nil"/>
          <w:bottom w:val="nil"/>
          <w:right w:val="nil"/>
          <w:between w:val="nil"/>
        </w:pBdr>
        <w:ind w:left="720" w:hanging="720"/>
        <w:rPr>
          <w:rFonts w:ascii="Cambria" w:eastAsia="Cambria" w:hAnsi="Cambria" w:cs="Cambria"/>
          <w:color w:val="000000"/>
        </w:rPr>
      </w:pPr>
    </w:p>
    <w:p w14:paraId="00000212" w14:textId="77777777" w:rsidR="00CD3527" w:rsidRDefault="007F4AED">
      <w:pPr>
        <w:numPr>
          <w:ilvl w:val="1"/>
          <w:numId w:val="61"/>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Do not use the editorial "we". The use of the first person singular is allowed in moderation. You can also call yourself "the author," "the investigator," and the like. Do not call yourself "the experimenter" unless your research consists of an experiment.</w:t>
      </w:r>
    </w:p>
    <w:p w14:paraId="00000213" w14:textId="77777777" w:rsidR="00CD3527" w:rsidRDefault="00CD3527">
      <w:pPr>
        <w:pBdr>
          <w:top w:val="nil"/>
          <w:left w:val="nil"/>
          <w:bottom w:val="nil"/>
          <w:right w:val="nil"/>
          <w:between w:val="nil"/>
        </w:pBdr>
        <w:ind w:left="720" w:hanging="720"/>
        <w:rPr>
          <w:rFonts w:ascii="Cambria" w:eastAsia="Cambria" w:hAnsi="Cambria" w:cs="Cambria"/>
          <w:color w:val="000000"/>
        </w:rPr>
      </w:pPr>
    </w:p>
    <w:p w14:paraId="00000214" w14:textId="77777777" w:rsidR="00CD3527" w:rsidRDefault="007F4AED">
      <w:pPr>
        <w:numPr>
          <w:ilvl w:val="1"/>
          <w:numId w:val="61"/>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Use simple language. A barrage of four-syllable or technical words does not impress the reader; it gets in the reader's way. At the same time, do not use colloquialisms.</w:t>
      </w:r>
    </w:p>
    <w:p w14:paraId="00000215" w14:textId="77777777" w:rsidR="00CD3527" w:rsidRDefault="00CD3527">
      <w:pPr>
        <w:pBdr>
          <w:top w:val="nil"/>
          <w:left w:val="nil"/>
          <w:bottom w:val="nil"/>
          <w:right w:val="nil"/>
          <w:between w:val="nil"/>
        </w:pBdr>
        <w:ind w:left="720" w:hanging="720"/>
        <w:rPr>
          <w:rFonts w:ascii="Cambria" w:eastAsia="Cambria" w:hAnsi="Cambria" w:cs="Cambria"/>
          <w:color w:val="000000"/>
        </w:rPr>
      </w:pPr>
    </w:p>
    <w:p w14:paraId="00000216" w14:textId="77777777" w:rsidR="00CD3527" w:rsidRDefault="007F4AED">
      <w:pPr>
        <w:numPr>
          <w:ilvl w:val="1"/>
          <w:numId w:val="61"/>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Another word or two about hyphens:</w:t>
      </w:r>
    </w:p>
    <w:p w14:paraId="00000217" w14:textId="77777777" w:rsidR="00CD3527" w:rsidRDefault="00CD3527">
      <w:pPr>
        <w:pBdr>
          <w:top w:val="nil"/>
          <w:left w:val="nil"/>
          <w:bottom w:val="nil"/>
          <w:right w:val="nil"/>
          <w:between w:val="nil"/>
        </w:pBdr>
        <w:ind w:left="720" w:hanging="720"/>
        <w:rPr>
          <w:rFonts w:ascii="Cambria" w:eastAsia="Cambria" w:hAnsi="Cambria" w:cs="Cambria"/>
          <w:color w:val="000000"/>
        </w:rPr>
      </w:pPr>
    </w:p>
    <w:p w14:paraId="00000218" w14:textId="77777777" w:rsidR="00CD3527" w:rsidRDefault="007F4AED">
      <w:pPr>
        <w:numPr>
          <w:ilvl w:val="2"/>
          <w:numId w:val="61"/>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lastRenderedPageBreak/>
        <w:t>the word "self" is always followed by a hyphen when it is part of a compound concept like self-esteem, self-concept, self-reference, and the like;</w:t>
      </w:r>
    </w:p>
    <w:p w14:paraId="00000219" w14:textId="77777777" w:rsidR="00CD3527" w:rsidRDefault="00CD3527">
      <w:pPr>
        <w:pBdr>
          <w:top w:val="nil"/>
          <w:left w:val="nil"/>
          <w:bottom w:val="nil"/>
          <w:right w:val="nil"/>
          <w:between w:val="nil"/>
        </w:pBdr>
        <w:ind w:left="2220"/>
        <w:rPr>
          <w:rFonts w:ascii="Cambria" w:eastAsia="Cambria" w:hAnsi="Cambria" w:cs="Cambria"/>
          <w:color w:val="000000"/>
        </w:rPr>
      </w:pPr>
    </w:p>
    <w:p w14:paraId="0000021A" w14:textId="77777777" w:rsidR="00CD3527" w:rsidRDefault="007F4AED">
      <w:pPr>
        <w:numPr>
          <w:ilvl w:val="2"/>
          <w:numId w:val="61"/>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terms like "the middle class," which are not ordinarily hyphenated, require a hyphen when they are used as modifiers, as in "middle-class participants";</w:t>
      </w:r>
    </w:p>
    <w:p w14:paraId="0000021B" w14:textId="77777777" w:rsidR="00CD3527" w:rsidRDefault="00CD3527">
      <w:pPr>
        <w:pBdr>
          <w:top w:val="nil"/>
          <w:left w:val="nil"/>
          <w:bottom w:val="nil"/>
          <w:right w:val="nil"/>
          <w:between w:val="nil"/>
        </w:pBdr>
        <w:ind w:left="720" w:hanging="720"/>
        <w:rPr>
          <w:rFonts w:ascii="Cambria" w:eastAsia="Cambria" w:hAnsi="Cambria" w:cs="Cambria"/>
          <w:color w:val="000000"/>
        </w:rPr>
      </w:pPr>
    </w:p>
    <w:p w14:paraId="0000021C" w14:textId="77777777" w:rsidR="00CD3527" w:rsidRDefault="007F4AED">
      <w:pPr>
        <w:numPr>
          <w:ilvl w:val="2"/>
          <w:numId w:val="61"/>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as already indicated, words like "socioeconomic," "countertransference," "nonpsychotic," "subgroup," "posttest," and "psychoanalysis" are single, unhyphenated words. When, however, a direct quote includes these words (or any others) in forms that are different, the author's original spelling is presented. </w:t>
      </w:r>
    </w:p>
    <w:p w14:paraId="0000021D" w14:textId="77777777" w:rsidR="00CD3527" w:rsidRDefault="00CD3527">
      <w:pPr>
        <w:pBdr>
          <w:top w:val="nil"/>
          <w:left w:val="nil"/>
          <w:bottom w:val="nil"/>
          <w:right w:val="nil"/>
          <w:between w:val="nil"/>
        </w:pBdr>
        <w:ind w:left="720" w:hanging="720"/>
        <w:rPr>
          <w:rFonts w:ascii="Cambria" w:eastAsia="Cambria" w:hAnsi="Cambria" w:cs="Cambria"/>
          <w:color w:val="000000"/>
        </w:rPr>
      </w:pPr>
    </w:p>
    <w:p w14:paraId="0000021E" w14:textId="77777777" w:rsidR="00CD3527" w:rsidRDefault="007F4AED">
      <w:pPr>
        <w:numPr>
          <w:ilvl w:val="1"/>
          <w:numId w:val="61"/>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The word "presently" means "shortly." "At present" means "now." "Now" also means "now.”</w:t>
      </w:r>
    </w:p>
    <w:p w14:paraId="0000021F" w14:textId="77777777" w:rsidR="00CD3527" w:rsidRDefault="00CD3527">
      <w:pPr>
        <w:pBdr>
          <w:top w:val="nil"/>
          <w:left w:val="nil"/>
          <w:bottom w:val="nil"/>
          <w:right w:val="nil"/>
          <w:between w:val="nil"/>
        </w:pBdr>
        <w:ind w:left="1500"/>
        <w:rPr>
          <w:rFonts w:ascii="Cambria" w:eastAsia="Cambria" w:hAnsi="Cambria" w:cs="Cambria"/>
          <w:color w:val="000000"/>
        </w:rPr>
      </w:pPr>
    </w:p>
    <w:p w14:paraId="00000220" w14:textId="77777777" w:rsidR="00CD3527" w:rsidRDefault="007F4AED">
      <w:pPr>
        <w:numPr>
          <w:ilvl w:val="1"/>
          <w:numId w:val="61"/>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A sentence like "Hopefully, the rats will learn the maze" means that the rats are full of hope as they learn. What you mean is that "the researcher "hoped that . . ." Avoid the word "hopefully." Also, avoid dangling participles, adverbs, phrases, or clauses.</w:t>
      </w:r>
    </w:p>
    <w:p w14:paraId="00000221" w14:textId="77777777" w:rsidR="00CD3527" w:rsidRDefault="00CD3527">
      <w:pPr>
        <w:pBdr>
          <w:top w:val="nil"/>
          <w:left w:val="nil"/>
          <w:bottom w:val="nil"/>
          <w:right w:val="nil"/>
          <w:between w:val="nil"/>
        </w:pBdr>
        <w:ind w:left="720" w:hanging="720"/>
        <w:rPr>
          <w:rFonts w:ascii="Cambria" w:eastAsia="Cambria" w:hAnsi="Cambria" w:cs="Cambria"/>
          <w:color w:val="000000"/>
        </w:rPr>
      </w:pPr>
    </w:p>
    <w:p w14:paraId="00000222" w14:textId="77777777" w:rsidR="00CD3527" w:rsidRDefault="007F4AED">
      <w:pPr>
        <w:numPr>
          <w:ilvl w:val="1"/>
          <w:numId w:val="61"/>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Avoid split infinitives. There are instances in which they are necessary, but these are few in number. "To more effectively use" is wrong; "to use more effectively" is correct. And don't use "utilize" when "use" will do.</w:t>
      </w:r>
    </w:p>
    <w:p w14:paraId="00000223" w14:textId="77777777" w:rsidR="00CD3527" w:rsidRDefault="00CD3527">
      <w:pPr>
        <w:pBdr>
          <w:top w:val="nil"/>
          <w:left w:val="nil"/>
          <w:bottom w:val="nil"/>
          <w:right w:val="nil"/>
          <w:between w:val="nil"/>
        </w:pBdr>
        <w:ind w:left="720" w:hanging="720"/>
        <w:rPr>
          <w:rFonts w:ascii="Cambria" w:eastAsia="Cambria" w:hAnsi="Cambria" w:cs="Cambria"/>
          <w:color w:val="000000"/>
        </w:rPr>
      </w:pPr>
    </w:p>
    <w:p w14:paraId="00000224" w14:textId="77777777" w:rsidR="00CD3527" w:rsidRDefault="007F4AED">
      <w:pPr>
        <w:numPr>
          <w:ilvl w:val="1"/>
          <w:numId w:val="61"/>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Do not use "s/he" for "she or he" or "he or she." It is not an English word, abbreviation, or acceptable contraction, and it cannot be pronounced. </w:t>
      </w:r>
    </w:p>
    <w:p w14:paraId="00000225" w14:textId="77777777" w:rsidR="00CD3527" w:rsidRDefault="00CD3527">
      <w:pPr>
        <w:pBdr>
          <w:top w:val="nil"/>
          <w:left w:val="nil"/>
          <w:bottom w:val="nil"/>
          <w:right w:val="nil"/>
          <w:between w:val="nil"/>
        </w:pBdr>
        <w:ind w:left="720" w:hanging="720"/>
        <w:rPr>
          <w:rFonts w:ascii="Cambria" w:eastAsia="Cambria" w:hAnsi="Cambria" w:cs="Cambria"/>
          <w:color w:val="000000"/>
        </w:rPr>
      </w:pPr>
    </w:p>
    <w:p w14:paraId="00000226" w14:textId="77777777" w:rsidR="00CD3527" w:rsidRDefault="007F4AED">
      <w:pPr>
        <w:numPr>
          <w:ilvl w:val="0"/>
          <w:numId w:val="61"/>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Headings. There are specific rules for the types of headings that are to be used in an APA-style manuscript. These rules determine which headings should be centered, which italicized, and which words within headings capitalized. Do not guess—check the </w:t>
      </w:r>
      <w:r>
        <w:rPr>
          <w:rFonts w:ascii="Cambria" w:eastAsia="Cambria" w:hAnsi="Cambria" w:cs="Cambria"/>
          <w:i/>
          <w:color w:val="000000"/>
        </w:rPr>
        <w:t>Manual</w:t>
      </w:r>
      <w:r>
        <w:rPr>
          <w:rFonts w:ascii="Cambria" w:eastAsia="Cambria" w:hAnsi="Cambria" w:cs="Cambria"/>
          <w:color w:val="000000"/>
        </w:rPr>
        <w:t>.</w:t>
      </w:r>
    </w:p>
    <w:p w14:paraId="00000227" w14:textId="77777777" w:rsidR="00CD3527" w:rsidRDefault="00CD3527">
      <w:pPr>
        <w:pBdr>
          <w:top w:val="nil"/>
          <w:left w:val="nil"/>
          <w:bottom w:val="nil"/>
          <w:right w:val="nil"/>
          <w:between w:val="nil"/>
        </w:pBdr>
        <w:ind w:left="780"/>
        <w:rPr>
          <w:rFonts w:ascii="Cambria" w:eastAsia="Cambria" w:hAnsi="Cambria" w:cs="Cambria"/>
          <w:color w:val="000000"/>
        </w:rPr>
      </w:pPr>
    </w:p>
    <w:p w14:paraId="00000228" w14:textId="77777777" w:rsidR="00CD3527" w:rsidRDefault="007F4AED">
      <w:pPr>
        <w:numPr>
          <w:ilvl w:val="0"/>
          <w:numId w:val="61"/>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Seriation. As above, there are specific rules for enumerating elements in a series. For example, within a paragraph or sentence, elements in a series are identified by lowercase letters encased in parentheses but not underlined, as with (a). See the </w:t>
      </w:r>
      <w:r>
        <w:rPr>
          <w:rFonts w:ascii="Cambria" w:eastAsia="Cambria" w:hAnsi="Cambria" w:cs="Cambria"/>
          <w:i/>
          <w:color w:val="000000"/>
        </w:rPr>
        <w:t>Manual</w:t>
      </w:r>
      <w:r>
        <w:rPr>
          <w:rFonts w:ascii="Cambria" w:eastAsia="Cambria" w:hAnsi="Cambria" w:cs="Cambria"/>
          <w:color w:val="000000"/>
        </w:rPr>
        <w:t>.</w:t>
      </w:r>
    </w:p>
    <w:p w14:paraId="00000229" w14:textId="77777777" w:rsidR="00CD3527" w:rsidRDefault="00CD3527">
      <w:pPr>
        <w:pBdr>
          <w:top w:val="nil"/>
          <w:left w:val="nil"/>
          <w:bottom w:val="nil"/>
          <w:right w:val="nil"/>
          <w:between w:val="nil"/>
        </w:pBdr>
        <w:ind w:left="720" w:hanging="720"/>
        <w:rPr>
          <w:rFonts w:ascii="Cambria" w:eastAsia="Cambria" w:hAnsi="Cambria" w:cs="Cambria"/>
          <w:color w:val="000000"/>
          <w:u w:val="single"/>
        </w:rPr>
      </w:pPr>
    </w:p>
    <w:p w14:paraId="0000022A"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u w:val="single"/>
        </w:rPr>
        <w:t>Note</w:t>
      </w:r>
      <w:r>
        <w:rPr>
          <w:rFonts w:ascii="Cambria" w:eastAsia="Cambria" w:hAnsi="Cambria" w:cs="Cambria"/>
          <w:color w:val="000000"/>
        </w:rPr>
        <w:t xml:space="preserve">:  The institution of which you are a member is "Teachers College" (no apostrophe!). </w:t>
      </w:r>
    </w:p>
    <w:p w14:paraId="0000022B" w14:textId="77777777" w:rsidR="00CD3527" w:rsidRDefault="007F4AED">
      <w:pPr>
        <w:pStyle w:val="Heading1"/>
      </w:pPr>
      <w:bookmarkStart w:id="30" w:name="_heading=h.1pxezwc" w:colFirst="0" w:colLast="0"/>
      <w:bookmarkEnd w:id="30"/>
      <w:r>
        <w:br w:type="page"/>
      </w:r>
      <w:r>
        <w:lastRenderedPageBreak/>
        <w:t>Course and Grade Information</w:t>
      </w:r>
    </w:p>
    <w:p w14:paraId="0000022C" w14:textId="77777777" w:rsidR="00CD3527" w:rsidRDefault="00CD3527">
      <w:pPr>
        <w:pBdr>
          <w:top w:val="nil"/>
          <w:left w:val="nil"/>
          <w:bottom w:val="nil"/>
          <w:right w:val="nil"/>
          <w:between w:val="nil"/>
        </w:pBdr>
        <w:rPr>
          <w:rFonts w:ascii="Cambria" w:eastAsia="Cambria" w:hAnsi="Cambria" w:cs="Cambria"/>
          <w:color w:val="000000"/>
        </w:rPr>
      </w:pPr>
    </w:p>
    <w:p w14:paraId="0000022D"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Students are admitted to the program with a specific advisor—virtually always that person with overlapping research and academic interests. In addition to other (e.g., research-related) roles, this advisor helps students with course planning, program requirements, career advisement, and other questions about the program and/or the College. </w:t>
      </w:r>
    </w:p>
    <w:p w14:paraId="0000022E" w14:textId="77777777" w:rsidR="00CD3527" w:rsidRDefault="00CD3527">
      <w:pPr>
        <w:pBdr>
          <w:top w:val="nil"/>
          <w:left w:val="nil"/>
          <w:bottom w:val="nil"/>
          <w:right w:val="nil"/>
          <w:between w:val="nil"/>
        </w:pBdr>
        <w:rPr>
          <w:rFonts w:ascii="Cambria" w:eastAsia="Cambria" w:hAnsi="Cambria" w:cs="Cambria"/>
          <w:color w:val="000000"/>
        </w:rPr>
      </w:pPr>
    </w:p>
    <w:p w14:paraId="0000022F"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u w:val="single"/>
        </w:rPr>
        <w:t>Registration:</w:t>
      </w:r>
      <w:r>
        <w:rPr>
          <w:rFonts w:ascii="Cambria" w:eastAsia="Cambria" w:hAnsi="Cambria" w:cs="Cambria"/>
          <w:color w:val="000000"/>
        </w:rPr>
        <w:t xml:space="preserve"> Students register online for classes. All students should consult with their advisors beforehand as to which courses they will be taking that particular term. </w:t>
      </w:r>
      <w:r>
        <w:rPr>
          <w:rFonts w:ascii="Cambria" w:eastAsia="Cambria" w:hAnsi="Cambria" w:cs="Cambria"/>
          <w:i/>
          <w:color w:val="000000"/>
        </w:rPr>
        <w:t>S</w:t>
      </w:r>
      <w:r>
        <w:rPr>
          <w:rFonts w:ascii="Cambria" w:eastAsia="Cambria" w:hAnsi="Cambria" w:cs="Cambria"/>
          <w:i/>
          <w:color w:val="000000"/>
          <w:u w:val="single"/>
        </w:rPr>
        <w:t>tudents with Incompletes must consult with their advisor prior to registering for courses</w:t>
      </w:r>
      <w:r>
        <w:rPr>
          <w:rFonts w:ascii="Cambria" w:eastAsia="Cambria" w:hAnsi="Cambria" w:cs="Cambria"/>
          <w:i/>
          <w:color w:val="000000"/>
        </w:rPr>
        <w:t xml:space="preserve">. </w:t>
      </w:r>
    </w:p>
    <w:p w14:paraId="00000230" w14:textId="77777777" w:rsidR="00CD3527" w:rsidRDefault="00CD3527">
      <w:pPr>
        <w:pBdr>
          <w:top w:val="nil"/>
          <w:left w:val="nil"/>
          <w:bottom w:val="nil"/>
          <w:right w:val="nil"/>
          <w:between w:val="nil"/>
        </w:pBdr>
        <w:rPr>
          <w:rFonts w:ascii="Cambria" w:eastAsia="Cambria" w:hAnsi="Cambria" w:cs="Cambria"/>
          <w:color w:val="000000"/>
        </w:rPr>
      </w:pPr>
    </w:p>
    <w:p w14:paraId="00000231"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u w:val="single"/>
        </w:rPr>
        <w:t>Points</w:t>
      </w:r>
      <w:r>
        <w:rPr>
          <w:rFonts w:ascii="Cambria" w:eastAsia="Cambria" w:hAnsi="Cambria" w:cs="Cambria"/>
          <w:color w:val="000000"/>
        </w:rPr>
        <w:t xml:space="preserve">: The minimum number of required points for doctoral students is 95. </w:t>
      </w:r>
    </w:p>
    <w:p w14:paraId="00000232" w14:textId="77777777" w:rsidR="00CD3527" w:rsidRDefault="00CD3527">
      <w:pPr>
        <w:pBdr>
          <w:top w:val="nil"/>
          <w:left w:val="nil"/>
          <w:bottom w:val="nil"/>
          <w:right w:val="nil"/>
          <w:between w:val="nil"/>
        </w:pBdr>
        <w:rPr>
          <w:rFonts w:ascii="Cambria" w:eastAsia="Cambria" w:hAnsi="Cambria" w:cs="Cambria"/>
          <w:color w:val="000000"/>
        </w:rPr>
      </w:pPr>
    </w:p>
    <w:p w14:paraId="00000233" w14:textId="77777777" w:rsidR="00CD3527" w:rsidRDefault="007F4AED">
      <w:pPr>
        <w:pBdr>
          <w:top w:val="nil"/>
          <w:left w:val="nil"/>
          <w:bottom w:val="nil"/>
          <w:right w:val="nil"/>
          <w:between w:val="nil"/>
        </w:pBdr>
        <w:rPr>
          <w:rFonts w:ascii="Cambria" w:eastAsia="Cambria" w:hAnsi="Cambria" w:cs="Cambria"/>
          <w:color w:val="000000"/>
          <w:u w:val="single"/>
        </w:rPr>
      </w:pPr>
      <w:r>
        <w:rPr>
          <w:rFonts w:ascii="Cambria" w:eastAsia="Cambria" w:hAnsi="Cambria" w:cs="Cambria"/>
          <w:color w:val="000000"/>
          <w:u w:val="single"/>
        </w:rPr>
        <w:t>Transfer Credits from Another University Graduate Program</w:t>
      </w:r>
      <w:r>
        <w:rPr>
          <w:rFonts w:ascii="Cambria" w:eastAsia="Cambria" w:hAnsi="Cambria" w:cs="Cambria"/>
          <w:color w:val="000000"/>
        </w:rPr>
        <w:t>: A maximum of 12 approved points may be acceptable as transfer credits from another university. To receive transfer credit:</w:t>
      </w:r>
    </w:p>
    <w:p w14:paraId="00000234" w14:textId="77777777" w:rsidR="00CD3527" w:rsidRDefault="007F4AED">
      <w:pPr>
        <w:numPr>
          <w:ilvl w:val="0"/>
          <w:numId w:val="90"/>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The student lets both advisor and DCT know about interest in transferring courses and presents both (1) a copy of graduate transcripts and (2) syllabi of all courses wanting to be used for transfer. Neither practica, independent study, workshops, fieldwork, nor general-level courses at other universities are transferable. Typically, courses that are transferable are those that are directly equivalent to one of our required or elective classes. Students must have taken the course for credit and received a B+ or better in course.</w:t>
      </w:r>
    </w:p>
    <w:p w14:paraId="00000235" w14:textId="77777777" w:rsidR="00CD3527" w:rsidRDefault="007F4AED">
      <w:pPr>
        <w:numPr>
          <w:ilvl w:val="0"/>
          <w:numId w:val="90"/>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The DCT, advisor, and other relevant faculty will discuss the appropriateness and transfer-eligibility of the course based on syllabi and grade. Courses must have original sources as per APA accreditation requirements. Courses will also be reviewed for NYS licensure acceptability (if that is of interest).  </w:t>
      </w:r>
    </w:p>
    <w:p w14:paraId="00000236" w14:textId="77777777" w:rsidR="00CD3527" w:rsidRDefault="007F4AED">
      <w:pPr>
        <w:numPr>
          <w:ilvl w:val="0"/>
          <w:numId w:val="90"/>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When approved, student will receive an email confirming which courses are approved.  Students must then circle these courses on a copy of their transcript and scan transcript and send back to the DCT, their advisor, and our program secretary, Rebecca Shulevitz (rcs35@tc.columbia.edu).</w:t>
      </w:r>
    </w:p>
    <w:p w14:paraId="00000237" w14:textId="77777777" w:rsidR="00CD3527" w:rsidRDefault="007F4AED">
      <w:pPr>
        <w:numPr>
          <w:ilvl w:val="0"/>
          <w:numId w:val="90"/>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Following this, students must officially notify the registrar of their interest to transfer.  Students </w:t>
      </w:r>
      <w:r>
        <w:rPr>
          <w:rFonts w:ascii="Cambria" w:eastAsia="Cambria" w:hAnsi="Cambria" w:cs="Cambria"/>
          <w:b/>
          <w:color w:val="000000"/>
        </w:rPr>
        <w:t>submit an application on the registrar's website (</w:t>
      </w:r>
      <w:hyperlink r:id="rId37" w:anchor="tab-10303444">
        <w:r>
          <w:rPr>
            <w:rFonts w:ascii="Cambria" w:eastAsia="Cambria" w:hAnsi="Cambria" w:cs="Cambria"/>
            <w:b/>
            <w:color w:val="0000FF"/>
            <w:u w:val="single"/>
          </w:rPr>
          <w:t>https://www.tc.columbia.edu/registrar/resources/transfer-credits/#tab-10303444</w:t>
        </w:r>
      </w:hyperlink>
      <w:r>
        <w:rPr>
          <w:rFonts w:ascii="Cambria" w:eastAsia="Cambria" w:hAnsi="Cambria" w:cs="Cambria"/>
          <w:b/>
          <w:color w:val="000000"/>
        </w:rPr>
        <w:t xml:space="preserve">). </w:t>
      </w:r>
      <w:r>
        <w:rPr>
          <w:rFonts w:ascii="Cambria" w:eastAsia="Cambria" w:hAnsi="Cambria" w:cs="Cambria"/>
          <w:color w:val="000000"/>
        </w:rPr>
        <w:t xml:space="preserve">They receive new applications every few weeks or so. When they get the chance to review the student’s application, they will then send an Advanced Standing Review (ASR) chart to faculty advisors to review in order to confirm the specific courser approved and provide appropriate signatures/approvals. </w:t>
      </w:r>
    </w:p>
    <w:p w14:paraId="00000238" w14:textId="77777777" w:rsidR="00CD3527" w:rsidRDefault="007F4AED">
      <w:pPr>
        <w:numPr>
          <w:ilvl w:val="0"/>
          <w:numId w:val="90"/>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Once the registrar receives the signed ASR back from the faculty, they create an award letter and send it out to the student/faculty, and then enter the credits into Banner. This allows them to show up on the transcript, and they should </w:t>
      </w:r>
      <w:r>
        <w:rPr>
          <w:rFonts w:ascii="Cambria" w:eastAsia="Cambria" w:hAnsi="Cambria" w:cs="Cambria"/>
          <w:color w:val="000000"/>
        </w:rPr>
        <w:lastRenderedPageBreak/>
        <w:t xml:space="preserve">also appear on your degree audit form. If you have more questions about them appearing on the audits, just let the registrar know. </w:t>
      </w:r>
    </w:p>
    <w:p w14:paraId="00000239" w14:textId="725A3197" w:rsidR="00CD3527" w:rsidRDefault="007F4AED">
      <w:pPr>
        <w:numPr>
          <w:ilvl w:val="0"/>
          <w:numId w:val="90"/>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The process usually takes </w:t>
      </w:r>
      <w:r>
        <w:rPr>
          <w:rFonts w:ascii="Cambria" w:eastAsia="Cambria" w:hAnsi="Cambria" w:cs="Cambria"/>
          <w:b/>
          <w:i/>
          <w:color w:val="000000"/>
        </w:rPr>
        <w:t xml:space="preserve">at least a month </w:t>
      </w:r>
      <w:r>
        <w:rPr>
          <w:rFonts w:ascii="Cambria" w:eastAsia="Cambria" w:hAnsi="Cambria" w:cs="Cambria"/>
          <w:color w:val="000000"/>
        </w:rPr>
        <w:t xml:space="preserve">to be completed. This is because there are many transfer credit applicants in generaland also because </w:t>
      </w:r>
      <w:r w:rsidR="001C28F8">
        <w:rPr>
          <w:rFonts w:ascii="Cambria" w:eastAsia="Cambria" w:hAnsi="Cambria" w:cs="Cambria"/>
          <w:color w:val="000000"/>
        </w:rPr>
        <w:t xml:space="preserve">the registrar </w:t>
      </w:r>
      <w:r>
        <w:rPr>
          <w:rFonts w:ascii="Cambria" w:eastAsia="Cambria" w:hAnsi="Cambria" w:cs="Cambria"/>
          <w:color w:val="000000"/>
        </w:rPr>
        <w:t>need</w:t>
      </w:r>
      <w:r w:rsidR="001C28F8">
        <w:rPr>
          <w:rFonts w:ascii="Cambria" w:eastAsia="Cambria" w:hAnsi="Cambria" w:cs="Cambria"/>
          <w:color w:val="000000"/>
        </w:rPr>
        <w:t>s</w:t>
      </w:r>
      <w:r>
        <w:rPr>
          <w:rFonts w:ascii="Cambria" w:eastAsia="Cambria" w:hAnsi="Cambria" w:cs="Cambria"/>
          <w:color w:val="000000"/>
        </w:rPr>
        <w:t xml:space="preserve"> to receive approval from the faculty in order to complete the process.</w:t>
      </w:r>
    </w:p>
    <w:p w14:paraId="0000023A" w14:textId="77777777" w:rsidR="00CD3527" w:rsidRDefault="007F4AED">
      <w:pPr>
        <w:numPr>
          <w:ilvl w:val="0"/>
          <w:numId w:val="90"/>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This information (number of credits transferred) will appear on both official and unofficial transcripts. Transfer courses will appear in a clearly marked section on the transcript, and each course will appear with a grade of “T.” (Transfer credits assume particular administrative importance when a student files a program plan during his or her third year of study). </w:t>
      </w:r>
    </w:p>
    <w:p w14:paraId="0000023B" w14:textId="77777777" w:rsidR="00CD3527" w:rsidRDefault="00CD3527">
      <w:pPr>
        <w:pBdr>
          <w:top w:val="nil"/>
          <w:left w:val="nil"/>
          <w:bottom w:val="nil"/>
          <w:right w:val="nil"/>
          <w:between w:val="nil"/>
        </w:pBdr>
        <w:ind w:left="720"/>
        <w:rPr>
          <w:rFonts w:ascii="Cambria" w:eastAsia="Cambria" w:hAnsi="Cambria" w:cs="Cambria"/>
          <w:color w:val="000000"/>
        </w:rPr>
      </w:pPr>
    </w:p>
    <w:p w14:paraId="0000023C" w14:textId="77777777" w:rsidR="00CD3527" w:rsidRDefault="007F4AED">
      <w:pPr>
        <w:pBdr>
          <w:top w:val="nil"/>
          <w:left w:val="nil"/>
          <w:bottom w:val="nil"/>
          <w:right w:val="nil"/>
          <w:between w:val="nil"/>
        </w:pBdr>
        <w:rPr>
          <w:rFonts w:ascii="Cambria" w:eastAsia="Cambria" w:hAnsi="Cambria" w:cs="Cambria"/>
          <w:color w:val="000000"/>
          <w:u w:val="single"/>
        </w:rPr>
      </w:pPr>
      <w:r>
        <w:rPr>
          <w:rFonts w:ascii="Cambria" w:eastAsia="Cambria" w:hAnsi="Cambria" w:cs="Cambria"/>
          <w:color w:val="000000"/>
          <w:u w:val="single"/>
        </w:rPr>
        <w:t>Transfer Credits from a TC graduate program (e.g., MA program)</w:t>
      </w:r>
      <w:r>
        <w:rPr>
          <w:rFonts w:ascii="Cambria" w:eastAsia="Cambria" w:hAnsi="Cambria" w:cs="Cambria"/>
          <w:color w:val="000000"/>
        </w:rPr>
        <w:t>: A maximum of 18 approved points may be acceptable as transfer credits from our own university. To receive transfer credit:</w:t>
      </w:r>
    </w:p>
    <w:p w14:paraId="0000023D" w14:textId="77777777" w:rsidR="00CD3527" w:rsidRDefault="007F4AED">
      <w:pPr>
        <w:numPr>
          <w:ilvl w:val="0"/>
          <w:numId w:val="65"/>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The student lets both advisor and DCT know about interest in transferring courses from MA program and presents both (1) a copy of graduate transcripts and (2) syllabi of all courses wanting to be used for transfer. Neither practica, independent study, workshops, fieldwork, nor general-level courses are transferable. Typically, courses that are transferable are those that are directly equivalent to one of our required or elective classes. Students must have taken the course for credit and received a B+ or better in course.</w:t>
      </w:r>
    </w:p>
    <w:p w14:paraId="0000023E" w14:textId="77777777" w:rsidR="00CD3527" w:rsidRDefault="007F4AED">
      <w:pPr>
        <w:numPr>
          <w:ilvl w:val="0"/>
          <w:numId w:val="65"/>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The DCT, advisor, and other relevant faculty will discuss the appropriateness and transfer-eligibility of the course based on syllabi and grade.  Courses must have original sources as per APA accreditation requirements.  Courses will also be reviewed for NYS licensure acceptability (if that is of interest).  </w:t>
      </w:r>
    </w:p>
    <w:p w14:paraId="0000023F" w14:textId="77777777" w:rsidR="00CD3527" w:rsidRDefault="007F4AED">
      <w:pPr>
        <w:numPr>
          <w:ilvl w:val="0"/>
          <w:numId w:val="65"/>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When approved, student will receive an email confirming which courses are approved.  Students can then complete their degree audit form by adding the appropriate courses for Ph.D. program requirements and electives. </w:t>
      </w:r>
    </w:p>
    <w:p w14:paraId="00000240" w14:textId="77777777" w:rsidR="00CD3527" w:rsidRDefault="00CD3527">
      <w:pPr>
        <w:pBdr>
          <w:top w:val="nil"/>
          <w:left w:val="nil"/>
          <w:bottom w:val="nil"/>
          <w:right w:val="nil"/>
          <w:between w:val="nil"/>
        </w:pBdr>
        <w:rPr>
          <w:rFonts w:ascii="Cambria" w:eastAsia="Cambria" w:hAnsi="Cambria" w:cs="Cambria"/>
          <w:color w:val="000000"/>
        </w:rPr>
      </w:pPr>
    </w:p>
    <w:p w14:paraId="00000241" w14:textId="092D6751"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u w:val="single"/>
        </w:rPr>
        <w:t>Waiver</w:t>
      </w:r>
      <w:r>
        <w:rPr>
          <w:rFonts w:ascii="Cambria" w:eastAsia="Cambria" w:hAnsi="Cambria" w:cs="Cambria"/>
          <w:color w:val="000000"/>
        </w:rPr>
        <w:t xml:space="preserve"> of a requirement is possible only when the student has evidence of having satisfactorily passed a graduate course covering the same content; students will typically need to present a syllabus for the course </w:t>
      </w:r>
      <w:r w:rsidR="00016AC9">
        <w:rPr>
          <w:rFonts w:ascii="Cambria" w:eastAsia="Cambria" w:hAnsi="Cambria" w:cs="Cambria"/>
          <w:color w:val="000000"/>
        </w:rPr>
        <w:t>they have</w:t>
      </w:r>
      <w:r>
        <w:rPr>
          <w:rFonts w:ascii="Cambria" w:eastAsia="Cambria" w:hAnsi="Cambria" w:cs="Cambria"/>
          <w:color w:val="000000"/>
        </w:rPr>
        <w:t xml:space="preserve"> taken and may need to obtain permission from the instructor here who teaches the required course. Waivers of practicum work are not granted. </w:t>
      </w:r>
    </w:p>
    <w:p w14:paraId="00000242" w14:textId="77777777" w:rsidR="00CD3527" w:rsidRDefault="00CD3527">
      <w:pPr>
        <w:pBdr>
          <w:top w:val="nil"/>
          <w:left w:val="nil"/>
          <w:bottom w:val="nil"/>
          <w:right w:val="nil"/>
          <w:between w:val="nil"/>
        </w:pBdr>
        <w:rPr>
          <w:rFonts w:ascii="Cambria" w:eastAsia="Cambria" w:hAnsi="Cambria" w:cs="Cambria"/>
          <w:color w:val="000000"/>
        </w:rPr>
      </w:pPr>
    </w:p>
    <w:p w14:paraId="00000243" w14:textId="31DB5189"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u w:val="single"/>
        </w:rPr>
        <w:t>Workshops</w:t>
      </w:r>
      <w:r>
        <w:rPr>
          <w:rFonts w:ascii="Cambria" w:eastAsia="Cambria" w:hAnsi="Cambria" w:cs="Cambria"/>
          <w:color w:val="000000"/>
        </w:rPr>
        <w:t>: Not more than one Workshop may be taken for credit toward the degree in any semester, nor may more than three Workshops for a maximum total of five points be taken for credit toward the degree. Workshops may not be substituted for required courses. (Workshop numbers generally have "8" as their second digit.)</w:t>
      </w:r>
      <w:r>
        <w:rPr>
          <w:rFonts w:ascii="Cambria" w:eastAsia="Cambria" w:hAnsi="Cambria" w:cs="Cambria"/>
          <w:color w:val="000000"/>
        </w:rPr>
        <w:br/>
      </w:r>
      <w:r>
        <w:rPr>
          <w:rFonts w:ascii="Cambria" w:eastAsia="Cambria" w:hAnsi="Cambria" w:cs="Cambria"/>
          <w:color w:val="000000"/>
        </w:rPr>
        <w:br/>
      </w:r>
      <w:r>
        <w:rPr>
          <w:rFonts w:ascii="Cambria" w:eastAsia="Cambria" w:hAnsi="Cambria" w:cs="Cambria"/>
          <w:color w:val="000000"/>
          <w:u w:val="single"/>
        </w:rPr>
        <w:t>Practica</w:t>
      </w:r>
      <w:r>
        <w:rPr>
          <w:rFonts w:ascii="Cambria" w:eastAsia="Cambria" w:hAnsi="Cambria" w:cs="Cambria"/>
          <w:color w:val="000000"/>
        </w:rPr>
        <w:t xml:space="preserve">: Students in practica are to work with a minimum of four patients a year. It is the </w:t>
      </w:r>
      <w:r>
        <w:rPr>
          <w:rFonts w:ascii="Cambria" w:eastAsia="Cambria" w:hAnsi="Cambria" w:cs="Cambria"/>
          <w:color w:val="000000"/>
          <w:u w:val="single"/>
        </w:rPr>
        <w:t>student's responsibility</w:t>
      </w:r>
      <w:r>
        <w:rPr>
          <w:rFonts w:ascii="Cambria" w:eastAsia="Cambria" w:hAnsi="Cambria" w:cs="Cambria"/>
          <w:color w:val="000000"/>
        </w:rPr>
        <w:t xml:space="preserve"> to inform the Director of the Dean-Hope Center or her assistant if additional patients are needed. </w:t>
      </w:r>
      <w:r>
        <w:rPr>
          <w:rFonts w:ascii="Cambria" w:eastAsia="Cambria" w:hAnsi="Cambria" w:cs="Cambria"/>
          <w:b/>
          <w:i/>
          <w:color w:val="000000"/>
          <w:u w:val="single"/>
        </w:rPr>
        <w:t>Students registered for practica must have professional liability insurance</w:t>
      </w:r>
      <w:r>
        <w:rPr>
          <w:rFonts w:ascii="Cambria" w:eastAsia="Cambria" w:hAnsi="Cambria" w:cs="Cambria"/>
          <w:b/>
          <w:i/>
          <w:color w:val="000000"/>
        </w:rPr>
        <w:t xml:space="preserve">. We recommend $1,000,000/3,000,000 coverage; the cost for this is relatively low through the APA Insurance Trust </w:t>
      </w:r>
      <w:r>
        <w:rPr>
          <w:rFonts w:ascii="Cambria" w:eastAsia="Cambria" w:hAnsi="Cambria" w:cs="Cambria"/>
          <w:b/>
          <w:i/>
          <w:color w:val="000000"/>
        </w:rPr>
        <w:lastRenderedPageBreak/>
        <w:t>(</w:t>
      </w:r>
      <w:hyperlink r:id="rId38">
        <w:r>
          <w:rPr>
            <w:rFonts w:ascii="Cambria" w:eastAsia="Cambria" w:hAnsi="Cambria" w:cs="Cambria"/>
            <w:b/>
            <w:i/>
            <w:color w:val="0000FF"/>
            <w:u w:val="single"/>
          </w:rPr>
          <w:t>http://www.apait.org/apait/</w:t>
        </w:r>
      </w:hyperlink>
      <w:r>
        <w:rPr>
          <w:rFonts w:ascii="Cambria" w:eastAsia="Cambria" w:hAnsi="Cambria" w:cs="Cambria"/>
          <w:b/>
          <w:i/>
          <w:color w:val="000000"/>
        </w:rPr>
        <w:t xml:space="preserve"> or 1-800-477-1200). </w:t>
      </w:r>
      <w:r>
        <w:rPr>
          <w:rFonts w:ascii="Cambria" w:eastAsia="Cambria" w:hAnsi="Cambria" w:cs="Cambria"/>
          <w:b/>
          <w:i/>
          <w:color w:val="000000"/>
        </w:rPr>
        <w:br/>
      </w:r>
      <w:r>
        <w:rPr>
          <w:rFonts w:ascii="Cambria" w:eastAsia="Cambria" w:hAnsi="Cambria" w:cs="Cambria"/>
          <w:color w:val="000000"/>
        </w:rPr>
        <w:br/>
      </w:r>
      <w:r>
        <w:rPr>
          <w:rFonts w:ascii="Cambria" w:eastAsia="Cambria" w:hAnsi="Cambria" w:cs="Cambria"/>
          <w:color w:val="000000"/>
          <w:u w:val="single"/>
        </w:rPr>
        <w:t>Colloquium:</w:t>
      </w:r>
      <w:r>
        <w:rPr>
          <w:rFonts w:ascii="Cambria" w:eastAsia="Cambria" w:hAnsi="Cambria" w:cs="Cambria"/>
          <w:color w:val="000000"/>
        </w:rPr>
        <w:t xml:space="preserve"> CCPX 5610 Colloquium in Clinical Psychology (Th 11:00-12:40). Students sign up for this course in each semester of their first three years in the program. The course, currently coordinated by Professor </w:t>
      </w:r>
      <w:r w:rsidR="00686860">
        <w:rPr>
          <w:rFonts w:ascii="Cambria" w:eastAsia="Cambria" w:hAnsi="Cambria" w:cs="Cambria"/>
          <w:color w:val="000000"/>
        </w:rPr>
        <w:t>Gaba</w:t>
      </w:r>
      <w:r>
        <w:rPr>
          <w:rFonts w:ascii="Cambria" w:eastAsia="Cambria" w:hAnsi="Cambria" w:cs="Cambria"/>
          <w:color w:val="000000"/>
        </w:rPr>
        <w:t xml:space="preserve"> consists primarily of invited talks by psychologists from different universities and research presentations by our students. As part of doctoral certification, we require that each student, in the Spring Semester of </w:t>
      </w:r>
      <w:r w:rsidR="001C28F8">
        <w:rPr>
          <w:rFonts w:ascii="Cambria" w:eastAsia="Cambria" w:hAnsi="Cambria" w:cs="Cambria"/>
          <w:color w:val="000000"/>
        </w:rPr>
        <w:t>their</w:t>
      </w:r>
      <w:r>
        <w:rPr>
          <w:rFonts w:ascii="Cambria" w:eastAsia="Cambria" w:hAnsi="Cambria" w:cs="Cambria"/>
          <w:color w:val="000000"/>
        </w:rPr>
        <w:t xml:space="preserve">3rd year, present his or her research at Colloquium. Occasionally, during this time, there are program meetings, student meetings, and faculty-student liaison meetings. </w:t>
      </w:r>
      <w:r>
        <w:rPr>
          <w:rFonts w:ascii="Cambria" w:eastAsia="Cambria" w:hAnsi="Cambria" w:cs="Cambria"/>
          <w:i/>
          <w:color w:val="000000"/>
          <w:u w:val="single"/>
        </w:rPr>
        <w:t>Attendance at colloquia is required</w:t>
      </w:r>
      <w:r>
        <w:rPr>
          <w:rFonts w:ascii="Cambria" w:eastAsia="Cambria" w:hAnsi="Cambria" w:cs="Cambria"/>
          <w:color w:val="000000"/>
        </w:rPr>
        <w:t xml:space="preserve">. </w:t>
      </w:r>
      <w:r>
        <w:rPr>
          <w:rFonts w:ascii="Cambria" w:eastAsia="Cambria" w:hAnsi="Cambria" w:cs="Cambria"/>
          <w:color w:val="000000"/>
          <w:u w:val="single"/>
        </w:rPr>
        <w:t>Do not schedule patients, supervision, externship hours, research obligations, or work during this time period</w:t>
      </w:r>
      <w:r>
        <w:rPr>
          <w:rFonts w:ascii="Cambria" w:eastAsia="Cambria" w:hAnsi="Cambria" w:cs="Cambria"/>
          <w:color w:val="000000"/>
        </w:rPr>
        <w:t xml:space="preserve">.  </w:t>
      </w:r>
    </w:p>
    <w:p w14:paraId="00000244" w14:textId="77777777" w:rsidR="00CD3527" w:rsidRDefault="00CD3527">
      <w:pPr>
        <w:pBdr>
          <w:top w:val="nil"/>
          <w:left w:val="nil"/>
          <w:bottom w:val="nil"/>
          <w:right w:val="nil"/>
          <w:between w:val="nil"/>
        </w:pBdr>
        <w:rPr>
          <w:rFonts w:ascii="Cambria" w:eastAsia="Cambria" w:hAnsi="Cambria" w:cs="Cambria"/>
          <w:color w:val="000000"/>
        </w:rPr>
      </w:pPr>
    </w:p>
    <w:p w14:paraId="00000245"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u w:val="single"/>
        </w:rPr>
        <w:t>Case Conference</w:t>
      </w:r>
      <w:r>
        <w:rPr>
          <w:rFonts w:ascii="Cambria" w:eastAsia="Cambria" w:hAnsi="Cambria" w:cs="Cambria"/>
          <w:color w:val="000000"/>
        </w:rPr>
        <w:t xml:space="preserve">: CCPX 5630 (Wednesday 3:00-4:40), coordinated by Dr. Rosa, offers an opportunity for students to present and discuss their clinical work with colleagues and faculty. Case conference is a full-year, 0-1 credit course but </w:t>
      </w:r>
      <w:r>
        <w:rPr>
          <w:rFonts w:ascii="Cambria" w:eastAsia="Cambria" w:hAnsi="Cambria" w:cs="Cambria"/>
          <w:color w:val="000000"/>
          <w:u w:val="single"/>
        </w:rPr>
        <w:t>attendance is required of students beginning in the second semester of their first year through their third year in the program</w:t>
      </w:r>
      <w:r>
        <w:rPr>
          <w:rFonts w:ascii="Cambria" w:eastAsia="Cambria" w:hAnsi="Cambria" w:cs="Cambria"/>
          <w:color w:val="000000"/>
        </w:rPr>
        <w:t>. First year students, during their first semester in the program, are invited but not required to attend. We require that each clinical student, sometime during his or her 3rd year in the doctoral program, present at Case Conference, demonstrating the ability to integrate theory, research, and practice.</w:t>
      </w:r>
    </w:p>
    <w:p w14:paraId="00000246" w14:textId="77777777" w:rsidR="00CD3527" w:rsidRDefault="00CD3527">
      <w:pPr>
        <w:pBdr>
          <w:top w:val="nil"/>
          <w:left w:val="nil"/>
          <w:bottom w:val="nil"/>
          <w:right w:val="nil"/>
          <w:between w:val="nil"/>
        </w:pBdr>
        <w:rPr>
          <w:rFonts w:ascii="Cambria" w:eastAsia="Cambria" w:hAnsi="Cambria" w:cs="Cambria"/>
          <w:color w:val="000000"/>
        </w:rPr>
      </w:pPr>
    </w:p>
    <w:p w14:paraId="00000247"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u w:val="single"/>
        </w:rPr>
        <w:t>Grades</w:t>
      </w:r>
      <w:r>
        <w:rPr>
          <w:rFonts w:ascii="Cambria" w:eastAsia="Cambria" w:hAnsi="Cambria" w:cs="Cambria"/>
          <w:color w:val="000000"/>
        </w:rPr>
        <w:t xml:space="preserve">: Students are expected to maintain at least a B grade across all courses. </w:t>
      </w:r>
      <w:r>
        <w:rPr>
          <w:rFonts w:ascii="Cambria" w:eastAsia="Cambria" w:hAnsi="Cambria" w:cs="Cambria"/>
          <w:color w:val="000000"/>
          <w:u w:val="single"/>
        </w:rPr>
        <w:t>All psychology courses in which letter grades are offered (including statistics and measurement courses) must be taken for letter grades</w:t>
      </w:r>
      <w:r>
        <w:rPr>
          <w:rFonts w:ascii="Cambria" w:eastAsia="Cambria" w:hAnsi="Cambria" w:cs="Cambria"/>
          <w:color w:val="000000"/>
        </w:rPr>
        <w:t xml:space="preserve">. The Director of Clinical Training, in consultation with program faculty, reserves the right to require students receiving a grade of C- or below to re-take that course or an appropriate substitute. Minimal grade requirements across courses adhere to TC policies found here: </w:t>
      </w:r>
      <w:hyperlink r:id="rId39">
        <w:r>
          <w:rPr>
            <w:rFonts w:ascii="Cambria" w:eastAsia="Cambria" w:hAnsi="Cambria" w:cs="Cambria"/>
            <w:color w:val="1155CC"/>
            <w:highlight w:val="white"/>
            <w:u w:val="single"/>
          </w:rPr>
          <w:t>https://www.tc.columbia.edu/policylibrary/associate-provost-enrollment-services/grading-/</w:t>
        </w:r>
      </w:hyperlink>
      <w:r>
        <w:rPr>
          <w:rFonts w:ascii="Cambria" w:eastAsia="Cambria" w:hAnsi="Cambria" w:cs="Cambria"/>
          <w:color w:val="222222"/>
          <w:highlight w:val="white"/>
        </w:rPr>
        <w:t>  </w:t>
      </w:r>
    </w:p>
    <w:p w14:paraId="00000248" w14:textId="77777777" w:rsidR="00CD3527" w:rsidRDefault="00CD3527">
      <w:pPr>
        <w:pBdr>
          <w:top w:val="nil"/>
          <w:left w:val="nil"/>
          <w:bottom w:val="nil"/>
          <w:right w:val="nil"/>
          <w:between w:val="nil"/>
        </w:pBdr>
        <w:rPr>
          <w:rFonts w:ascii="Cambria" w:eastAsia="Cambria" w:hAnsi="Cambria" w:cs="Cambria"/>
          <w:color w:val="000000"/>
        </w:rPr>
      </w:pPr>
    </w:p>
    <w:p w14:paraId="00000249"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u w:val="single"/>
        </w:rPr>
        <w:t>Incompletes</w:t>
      </w:r>
      <w:r>
        <w:rPr>
          <w:rFonts w:ascii="Cambria" w:eastAsia="Cambria" w:hAnsi="Cambria" w:cs="Cambria"/>
          <w:color w:val="000000"/>
        </w:rPr>
        <w:t xml:space="preserve"> in courses are unfortunate but not unforgivable; what</w:t>
      </w:r>
      <w:r>
        <w:rPr>
          <w:rFonts w:ascii="Cambria" w:eastAsia="Cambria" w:hAnsi="Cambria" w:cs="Cambria"/>
          <w:i/>
          <w:color w:val="000000"/>
        </w:rPr>
        <w:t xml:space="preserve"> is</w:t>
      </w:r>
      <w:r>
        <w:rPr>
          <w:rFonts w:ascii="Cambria" w:eastAsia="Cambria" w:hAnsi="Cambria" w:cs="Cambria"/>
          <w:color w:val="000000"/>
        </w:rPr>
        <w:t xml:space="preserve"> nearly unforgivable is a failure to communicate with your instructor regarding your reasons for the Incomplete and your plans (negotiated with the instructor) for completing the work. </w:t>
      </w:r>
    </w:p>
    <w:p w14:paraId="0000024A" w14:textId="77777777" w:rsidR="00CD3527" w:rsidRDefault="00CD3527">
      <w:pPr>
        <w:pBdr>
          <w:top w:val="nil"/>
          <w:left w:val="nil"/>
          <w:bottom w:val="nil"/>
          <w:right w:val="nil"/>
          <w:between w:val="nil"/>
        </w:pBdr>
        <w:rPr>
          <w:rFonts w:ascii="Cambria" w:eastAsia="Cambria" w:hAnsi="Cambria" w:cs="Cambria"/>
          <w:color w:val="000000"/>
        </w:rPr>
      </w:pPr>
    </w:p>
    <w:p w14:paraId="0000024B" w14:textId="77777777" w:rsidR="00CD3527" w:rsidRDefault="007F4AED">
      <w:pPr>
        <w:pBdr>
          <w:top w:val="nil"/>
          <w:left w:val="nil"/>
          <w:bottom w:val="nil"/>
          <w:right w:val="nil"/>
          <w:between w:val="nil"/>
        </w:pBdr>
        <w:shd w:val="clear" w:color="auto" w:fill="FFFFFF"/>
        <w:spacing w:after="150"/>
        <w:rPr>
          <w:rFonts w:ascii="Cambria" w:eastAsia="Cambria" w:hAnsi="Cambria" w:cs="Cambria"/>
          <w:color w:val="333333"/>
        </w:rPr>
      </w:pPr>
      <w:r>
        <w:rPr>
          <w:rFonts w:ascii="Cambria" w:eastAsia="Cambria" w:hAnsi="Cambria" w:cs="Cambria"/>
          <w:b/>
          <w:color w:val="333333"/>
          <w:u w:val="single"/>
        </w:rPr>
        <w:t>Leaves of Absence</w:t>
      </w:r>
      <w:r>
        <w:rPr>
          <w:rFonts w:ascii="Cambria" w:eastAsia="Cambria" w:hAnsi="Cambria" w:cs="Cambria"/>
          <w:b/>
          <w:color w:val="333333"/>
        </w:rPr>
        <w:t>. The program follows the TC policy on leave, explained below:</w:t>
      </w:r>
    </w:p>
    <w:p w14:paraId="0000024C" w14:textId="77777777" w:rsidR="00CD3527" w:rsidRDefault="007F4AED">
      <w:pPr>
        <w:shd w:val="clear" w:color="auto" w:fill="FFFFFF"/>
        <w:spacing w:after="150"/>
        <w:rPr>
          <w:rFonts w:ascii="Cambria" w:eastAsia="Cambria" w:hAnsi="Cambria" w:cs="Cambria"/>
          <w:color w:val="333333"/>
        </w:rPr>
      </w:pPr>
      <w:r>
        <w:rPr>
          <w:rFonts w:ascii="Cambria" w:eastAsia="Cambria" w:hAnsi="Cambria" w:cs="Cambria"/>
          <w:color w:val="333333"/>
        </w:rPr>
        <w:t xml:space="preserve">There are three types of leaves of absence for which a student may apply, depending on circumstances: </w:t>
      </w:r>
      <w:r>
        <w:rPr>
          <w:rFonts w:ascii="Cambria" w:eastAsia="Cambria" w:hAnsi="Cambria" w:cs="Cambria"/>
          <w:b/>
          <w:i/>
          <w:color w:val="333333"/>
        </w:rPr>
        <w:t>military, medical, and personal.</w:t>
      </w:r>
      <w:r>
        <w:rPr>
          <w:rFonts w:ascii="Cambria" w:eastAsia="Cambria" w:hAnsi="Cambria" w:cs="Cambria"/>
          <w:color w:val="333333"/>
        </w:rPr>
        <w:t xml:space="preserve"> A leave may be granted only to a student in good academic standing (as defined by the College and the student’s academic department or program) and academically eligible to continue in the degree program when he or she returns from leave.</w:t>
      </w:r>
    </w:p>
    <w:p w14:paraId="0000024D" w14:textId="77777777" w:rsidR="00CD3527" w:rsidRDefault="007F4AED">
      <w:pPr>
        <w:shd w:val="clear" w:color="auto" w:fill="FFFFFF"/>
        <w:spacing w:after="150"/>
        <w:rPr>
          <w:rFonts w:ascii="Cambria" w:eastAsia="Cambria" w:hAnsi="Cambria" w:cs="Cambria"/>
          <w:color w:val="333333"/>
        </w:rPr>
      </w:pPr>
      <w:r>
        <w:rPr>
          <w:rFonts w:ascii="Cambria" w:eastAsia="Cambria" w:hAnsi="Cambria" w:cs="Cambria"/>
          <w:b/>
          <w:color w:val="333333"/>
        </w:rPr>
        <w:t>Military</w:t>
      </w:r>
      <w:r>
        <w:rPr>
          <w:rFonts w:ascii="Cambria" w:eastAsia="Cambria" w:hAnsi="Cambria" w:cs="Cambria"/>
          <w:color w:val="333333"/>
        </w:rPr>
        <w:t> leaves are governed by federal regulations. A student taking a military leave is encouraged to contact the Registrar’s Office (212-678-4050 or </w:t>
      </w:r>
      <w:hyperlink r:id="rId40">
        <w:r>
          <w:rPr>
            <w:rFonts w:ascii="Cambria" w:eastAsia="Cambria" w:hAnsi="Cambria" w:cs="Cambria"/>
            <w:color w:val="337AB7"/>
          </w:rPr>
          <w:t>registrar@tc.edu</w:t>
        </w:r>
      </w:hyperlink>
      <w:r>
        <w:rPr>
          <w:rFonts w:ascii="Cambria" w:eastAsia="Cambria" w:hAnsi="Cambria" w:cs="Cambria"/>
          <w:color w:val="333333"/>
        </w:rPr>
        <w:t xml:space="preserve">) as </w:t>
      </w:r>
      <w:r>
        <w:rPr>
          <w:rFonts w:ascii="Cambria" w:eastAsia="Cambria" w:hAnsi="Cambria" w:cs="Cambria"/>
          <w:color w:val="333333"/>
        </w:rPr>
        <w:lastRenderedPageBreak/>
        <w:t>soon as possible for assistance in making arrangements as the terms for such leaves may differ.</w:t>
      </w:r>
    </w:p>
    <w:p w14:paraId="0000024E" w14:textId="77777777" w:rsidR="00CD3527" w:rsidRDefault="007F4AED">
      <w:pPr>
        <w:shd w:val="clear" w:color="auto" w:fill="FFFFFF"/>
        <w:spacing w:after="150"/>
        <w:rPr>
          <w:rFonts w:ascii="Cambria" w:eastAsia="Cambria" w:hAnsi="Cambria" w:cs="Cambria"/>
          <w:color w:val="333333"/>
        </w:rPr>
      </w:pPr>
      <w:r>
        <w:rPr>
          <w:rFonts w:ascii="Cambria" w:eastAsia="Cambria" w:hAnsi="Cambria" w:cs="Cambria"/>
          <w:color w:val="333333"/>
        </w:rPr>
        <w:t>A </w:t>
      </w:r>
      <w:r>
        <w:rPr>
          <w:rFonts w:ascii="Cambria" w:eastAsia="Cambria" w:hAnsi="Cambria" w:cs="Cambria"/>
          <w:b/>
          <w:color w:val="333333"/>
        </w:rPr>
        <w:t>medical</w:t>
      </w:r>
      <w:r>
        <w:rPr>
          <w:rFonts w:ascii="Cambria" w:eastAsia="Cambria" w:hAnsi="Cambria" w:cs="Cambria"/>
          <w:color w:val="333333"/>
        </w:rPr>
        <w:t> or </w:t>
      </w:r>
      <w:r>
        <w:rPr>
          <w:rFonts w:ascii="Cambria" w:eastAsia="Cambria" w:hAnsi="Cambria" w:cs="Cambria"/>
          <w:b/>
          <w:color w:val="333333"/>
        </w:rPr>
        <w:t>personal</w:t>
      </w:r>
      <w:r>
        <w:rPr>
          <w:rFonts w:ascii="Cambria" w:eastAsia="Cambria" w:hAnsi="Cambria" w:cs="Cambria"/>
          <w:color w:val="333333"/>
        </w:rPr>
        <w:t> leave must be requested and granted prior to or during the term for which it is requested; it cannot be granted retroactively. When it is determined to be required under the circumstances, to protect the safety, health and well-being of the student or others, a compulsory medical leave may be granted on behalf of the student. See below.</w:t>
      </w:r>
    </w:p>
    <w:p w14:paraId="0000024F" w14:textId="77777777" w:rsidR="00CD3527" w:rsidRDefault="007F4AED">
      <w:pPr>
        <w:shd w:val="clear" w:color="auto" w:fill="FFFFFF"/>
        <w:spacing w:after="150"/>
        <w:rPr>
          <w:rFonts w:ascii="Cambria" w:eastAsia="Cambria" w:hAnsi="Cambria" w:cs="Cambria"/>
          <w:color w:val="333333"/>
        </w:rPr>
      </w:pPr>
      <w:r>
        <w:rPr>
          <w:rFonts w:ascii="Cambria" w:eastAsia="Cambria" w:hAnsi="Cambria" w:cs="Cambria"/>
          <w:color w:val="333333"/>
        </w:rPr>
        <w:t>A leave may be approved at any time during a student’s period of study, </w:t>
      </w:r>
      <w:r>
        <w:rPr>
          <w:rFonts w:ascii="Cambria" w:eastAsia="Cambria" w:hAnsi="Cambria" w:cs="Cambria"/>
          <w:i/>
          <w:color w:val="333333"/>
        </w:rPr>
        <w:t>except during the add/drop period of a student’s first term of study at Teachers College</w:t>
      </w:r>
      <w:r>
        <w:rPr>
          <w:rFonts w:ascii="Cambria" w:eastAsia="Cambria" w:hAnsi="Cambria" w:cs="Cambria"/>
          <w:color w:val="333333"/>
        </w:rPr>
        <w:t>, when a deferment of admission is more appropriate. For a deferment, a student should contact the Office of Admission to ask about a deferral and drop of registration (if applicable).</w:t>
      </w:r>
    </w:p>
    <w:p w14:paraId="00000250" w14:textId="77777777" w:rsidR="00CD3527" w:rsidRDefault="007F4AED">
      <w:pPr>
        <w:shd w:val="clear" w:color="auto" w:fill="FFFFFF"/>
        <w:spacing w:after="150"/>
        <w:rPr>
          <w:rFonts w:ascii="Cambria" w:eastAsia="Cambria" w:hAnsi="Cambria" w:cs="Cambria"/>
          <w:color w:val="333333"/>
        </w:rPr>
      </w:pPr>
      <w:r>
        <w:rPr>
          <w:rFonts w:ascii="Cambria" w:eastAsia="Cambria" w:hAnsi="Cambria" w:cs="Cambria"/>
          <w:color w:val="333333"/>
        </w:rPr>
        <w:t>A student seeking a leave during a term may request that the College permit the drop of the student’s coursework without academic or financial penalty. If the student is granted an incomplete in any course, tuition and fees associated with that course will not be refunded. Under the grading policy, students have a year to complete incomplete grades. The decision to take an incomplete may not be reversed or changed to a drop at a later time.</w:t>
      </w:r>
    </w:p>
    <w:p w14:paraId="00000251" w14:textId="77777777" w:rsidR="00CD3527" w:rsidRDefault="007F4AED">
      <w:pPr>
        <w:shd w:val="clear" w:color="auto" w:fill="FFFFFF"/>
        <w:spacing w:after="150"/>
        <w:rPr>
          <w:rFonts w:ascii="Cambria" w:eastAsia="Cambria" w:hAnsi="Cambria" w:cs="Cambria"/>
          <w:color w:val="333333"/>
        </w:rPr>
      </w:pPr>
      <w:r>
        <w:rPr>
          <w:rFonts w:ascii="Cambria" w:eastAsia="Cambria" w:hAnsi="Cambria" w:cs="Cambria"/>
          <w:color w:val="333333"/>
        </w:rPr>
        <w:t>A student who has engaged in behavior that may violate rules, regulations, or policies of the College may be required to participate in the disciplinary process prior to the consideration of a leave request. If a leave is granted prior to the conclusion of any disciplinary procedure, the process will be continued upon the student’s return.</w:t>
      </w:r>
    </w:p>
    <w:p w14:paraId="00000252" w14:textId="77777777" w:rsidR="00CD3527" w:rsidRDefault="007F4AED">
      <w:pPr>
        <w:shd w:val="clear" w:color="auto" w:fill="FFFFFF"/>
        <w:spacing w:after="150"/>
        <w:rPr>
          <w:rFonts w:ascii="Cambria" w:eastAsia="Cambria" w:hAnsi="Cambria" w:cs="Cambria"/>
          <w:color w:val="333333"/>
        </w:rPr>
      </w:pPr>
      <w:r>
        <w:rPr>
          <w:rFonts w:ascii="Cambria" w:eastAsia="Cambria" w:hAnsi="Cambria" w:cs="Cambria"/>
          <w:b/>
          <w:color w:val="FF0000"/>
        </w:rPr>
        <w:t xml:space="preserve">NOTE: </w:t>
      </w:r>
      <w:r>
        <w:rPr>
          <w:rFonts w:ascii="Cambria" w:eastAsia="Cambria" w:hAnsi="Cambria" w:cs="Cambria"/>
          <w:color w:val="333333"/>
        </w:rPr>
        <w:t>Taking a leave may affect not only academic progress but health care coverage, financial aid, housing, and immigration status. Students considering a leave should review all of these possible issues and consult with the appropriate offices at Teachers College.</w:t>
      </w:r>
    </w:p>
    <w:p w14:paraId="00000253" w14:textId="77777777" w:rsidR="00CD3527" w:rsidRDefault="007F4AED">
      <w:pPr>
        <w:shd w:val="clear" w:color="auto" w:fill="FFFFFF"/>
        <w:spacing w:after="150"/>
        <w:rPr>
          <w:rFonts w:ascii="Cambria" w:eastAsia="Cambria" w:hAnsi="Cambria" w:cs="Cambria"/>
          <w:i/>
          <w:color w:val="333333"/>
        </w:rPr>
      </w:pPr>
      <w:r>
        <w:rPr>
          <w:rFonts w:ascii="Cambria" w:eastAsia="Cambria" w:hAnsi="Cambria" w:cs="Cambria"/>
          <w:color w:val="333333"/>
        </w:rPr>
        <w:br/>
      </w:r>
      <w:r>
        <w:rPr>
          <w:rFonts w:ascii="Cambria" w:eastAsia="Cambria" w:hAnsi="Cambria" w:cs="Cambria"/>
          <w:b/>
          <w:i/>
          <w:color w:val="333333"/>
        </w:rPr>
        <w:t>Kinds of Leaves; procedures for application</w:t>
      </w:r>
    </w:p>
    <w:p w14:paraId="00000254" w14:textId="77777777" w:rsidR="00CD3527" w:rsidRDefault="007F4AED">
      <w:pPr>
        <w:shd w:val="clear" w:color="auto" w:fill="FFFFFF"/>
        <w:spacing w:after="150"/>
        <w:rPr>
          <w:rFonts w:ascii="Cambria" w:eastAsia="Cambria" w:hAnsi="Cambria" w:cs="Cambria"/>
          <w:color w:val="333333"/>
        </w:rPr>
      </w:pPr>
      <w:r>
        <w:rPr>
          <w:rFonts w:ascii="Cambria" w:eastAsia="Cambria" w:hAnsi="Cambria" w:cs="Cambria"/>
          <w:color w:val="333333"/>
        </w:rPr>
        <w:t>To apply for a medical or personal leave of absence, a student must submit an Application for a Leave of Absence form and deliver it, with the required documentation, to the Office of the Registrar. Individuals who believe they will require any type of leave should contact the Registrar’s Office (212-678-4050 or </w:t>
      </w:r>
      <w:hyperlink r:id="rId41">
        <w:r>
          <w:rPr>
            <w:rFonts w:ascii="Cambria" w:eastAsia="Cambria" w:hAnsi="Cambria" w:cs="Cambria"/>
            <w:color w:val="337AB7"/>
          </w:rPr>
          <w:t>registrar@tc.edu</w:t>
        </w:r>
      </w:hyperlink>
      <w:r>
        <w:rPr>
          <w:rFonts w:ascii="Cambria" w:eastAsia="Cambria" w:hAnsi="Cambria" w:cs="Cambria"/>
          <w:color w:val="333333"/>
        </w:rPr>
        <w:t>) as soon as possible for assistance in making arrangements.</w:t>
      </w:r>
    </w:p>
    <w:p w14:paraId="00000255" w14:textId="77777777" w:rsidR="00CD3527" w:rsidRDefault="007F4AED">
      <w:pPr>
        <w:shd w:val="clear" w:color="auto" w:fill="FFFFFF"/>
        <w:spacing w:after="150"/>
        <w:rPr>
          <w:rFonts w:ascii="Cambria" w:eastAsia="Cambria" w:hAnsi="Cambria" w:cs="Cambria"/>
          <w:color w:val="333333"/>
        </w:rPr>
      </w:pPr>
      <w:r>
        <w:rPr>
          <w:rFonts w:ascii="Cambria" w:eastAsia="Cambria" w:hAnsi="Cambria" w:cs="Cambria"/>
          <w:b/>
          <w:color w:val="333333"/>
        </w:rPr>
        <w:t>Medical:</w:t>
      </w:r>
      <w:r>
        <w:rPr>
          <w:rFonts w:ascii="Cambria" w:eastAsia="Cambria" w:hAnsi="Cambria" w:cs="Cambria"/>
          <w:color w:val="333333"/>
        </w:rPr>
        <w:t xml:space="preserve"> A student who must interrupt study temporarily because of physical or psychological illness or condition or due to pregnancy may request a medical leave. To apply for such a leave, the student must submit a certification from the medical or mental health professional who has been providing treatment to the student (the “Student’s HCP”) that a medical leave is warranted due to the student's health issues. Supporting medical documentation must be dated within 30 days of the request for a medical leave. In certain unusual cases, a compulsory medical leave may be required by the College, if needed to protect the safety, health and well-being of the student or </w:t>
      </w:r>
      <w:r>
        <w:rPr>
          <w:rFonts w:ascii="Cambria" w:eastAsia="Cambria" w:hAnsi="Cambria" w:cs="Cambria"/>
          <w:color w:val="333333"/>
        </w:rPr>
        <w:lastRenderedPageBreak/>
        <w:t>others. Students will be given notice and an opportunity to be heard prior to being placed on a leave.</w:t>
      </w:r>
    </w:p>
    <w:p w14:paraId="00000256" w14:textId="77777777" w:rsidR="00CD3527" w:rsidRDefault="007F4AED">
      <w:pPr>
        <w:shd w:val="clear" w:color="auto" w:fill="FFFFFF"/>
        <w:spacing w:after="150"/>
        <w:rPr>
          <w:rFonts w:ascii="Cambria" w:eastAsia="Cambria" w:hAnsi="Cambria" w:cs="Cambria"/>
          <w:color w:val="333333"/>
        </w:rPr>
      </w:pPr>
      <w:r>
        <w:rPr>
          <w:rFonts w:ascii="Cambria" w:eastAsia="Cambria" w:hAnsi="Cambria" w:cs="Cambria"/>
          <w:color w:val="333333"/>
        </w:rPr>
        <w:t>As a condition of granting a medical leave, the College may require a consultative review of the medical or mental health documentation with a College representative. This consultation may include conversations between the Student’s HCP and the designated College representative and may also require that the student engage in an interview with a designated College representative prior to being granted the leave.</w:t>
      </w:r>
    </w:p>
    <w:p w14:paraId="00000257" w14:textId="77777777" w:rsidR="00CD3527" w:rsidRDefault="007F4AED">
      <w:pPr>
        <w:shd w:val="clear" w:color="auto" w:fill="FFFFFF"/>
        <w:spacing w:after="150"/>
        <w:rPr>
          <w:rFonts w:ascii="Cambria" w:eastAsia="Cambria" w:hAnsi="Cambria" w:cs="Cambria"/>
          <w:color w:val="333333"/>
        </w:rPr>
      </w:pPr>
      <w:r>
        <w:rPr>
          <w:rFonts w:ascii="Cambria" w:eastAsia="Cambria" w:hAnsi="Cambria" w:cs="Cambria"/>
          <w:color w:val="333333"/>
        </w:rPr>
        <w:t>A medical leave will be granted for no longer than one academic term but may be renewed for a subsequent academic term upon supplemental documentation from the Student’s HCP that a continued medical leave is warranted due to the student's health problem. The maximum cumulative length of a medical leave is two years.</w:t>
      </w:r>
    </w:p>
    <w:p w14:paraId="00000258" w14:textId="77777777" w:rsidR="00CD3527" w:rsidRDefault="007F4AED">
      <w:pPr>
        <w:shd w:val="clear" w:color="auto" w:fill="FFFFFF"/>
        <w:spacing w:after="150"/>
        <w:rPr>
          <w:rFonts w:ascii="Cambria" w:eastAsia="Cambria" w:hAnsi="Cambria" w:cs="Cambria"/>
          <w:color w:val="333333"/>
        </w:rPr>
      </w:pPr>
      <w:r>
        <w:rPr>
          <w:rFonts w:ascii="Cambria" w:eastAsia="Cambria" w:hAnsi="Cambria" w:cs="Cambria"/>
          <w:color w:val="333333"/>
        </w:rPr>
        <w:t>To be reinstated after a medical leave, the student must provide the College with written documentation from the Student’s HCP, confirming that the student can safely return to graduate study. As a condition of being reinstated, the College may require the student to provide medical or psychological records from the Student’s HCP and/or participate in an assessment interview with an appropriate College representative or a health care provider chosen by the College. The request for reinstatement must be submitted at least one month prior to the first day of classes of the desired semester of reinstatement, to permit sufficient time for the College to evaluate the request based upon the particular situation of the student and to assure that the safety, health and well-being of the student and others are preserved. Reasonable conditions may be placed on the reinstatement to protect the safety, health and well-being of the student or others.</w:t>
      </w:r>
    </w:p>
    <w:p w14:paraId="00000259" w14:textId="77777777" w:rsidR="00CD3527" w:rsidRDefault="007F4AED">
      <w:pPr>
        <w:shd w:val="clear" w:color="auto" w:fill="FFFFFF"/>
        <w:spacing w:after="150"/>
        <w:rPr>
          <w:rFonts w:ascii="Cambria" w:eastAsia="Cambria" w:hAnsi="Cambria" w:cs="Cambria"/>
          <w:color w:val="333333"/>
        </w:rPr>
      </w:pPr>
      <w:r>
        <w:rPr>
          <w:rFonts w:ascii="Cambria" w:eastAsia="Cambria" w:hAnsi="Cambria" w:cs="Cambria"/>
          <w:color w:val="333333"/>
        </w:rPr>
        <w:t>If the student will need reasonable accommodations to return to his or her studies, the student or the student’s HCP should propose any reasonable accommodations they believe necessary for the student’s successful return. Documentation of the need for and nature of proposed accommodations should be provided to the Office of Access and Services for Individuals with Disabilities, who will work with the student to arrange reasonable accommodations as necessary.</w:t>
      </w:r>
    </w:p>
    <w:p w14:paraId="0000025A" w14:textId="77777777" w:rsidR="00CD3527" w:rsidRDefault="007F4AED">
      <w:pPr>
        <w:shd w:val="clear" w:color="auto" w:fill="FFFFFF"/>
        <w:spacing w:after="150"/>
        <w:rPr>
          <w:rFonts w:ascii="Cambria" w:eastAsia="Cambria" w:hAnsi="Cambria" w:cs="Cambria"/>
          <w:color w:val="333333"/>
        </w:rPr>
      </w:pPr>
      <w:r>
        <w:rPr>
          <w:rFonts w:ascii="Cambria" w:eastAsia="Cambria" w:hAnsi="Cambria" w:cs="Cambria"/>
          <w:color w:val="333333"/>
        </w:rPr>
        <w:t>Approved medical leaves will extend the Period of Candidacy for Master of Arts, Master of Science, and Master of Education students, the Period of Eligibility for Doctor of Philosophy students, and the Period of Certification (if applicable) for all doctoral students for the period of the leave.</w:t>
      </w:r>
    </w:p>
    <w:p w14:paraId="0000025B" w14:textId="77777777" w:rsidR="00CD3527" w:rsidRDefault="007F4AED">
      <w:pPr>
        <w:shd w:val="clear" w:color="auto" w:fill="FFFFFF"/>
        <w:spacing w:after="150"/>
        <w:rPr>
          <w:rFonts w:ascii="Cambria" w:eastAsia="Cambria" w:hAnsi="Cambria" w:cs="Cambria"/>
          <w:color w:val="333333"/>
        </w:rPr>
      </w:pPr>
      <w:r>
        <w:rPr>
          <w:rFonts w:ascii="Cambria" w:eastAsia="Cambria" w:hAnsi="Cambria" w:cs="Cambria"/>
          <w:b/>
          <w:color w:val="333333"/>
        </w:rPr>
        <w:t>Military:</w:t>
      </w:r>
      <w:r>
        <w:rPr>
          <w:rFonts w:ascii="Cambria" w:eastAsia="Cambria" w:hAnsi="Cambria" w:cs="Cambria"/>
          <w:color w:val="333333"/>
        </w:rPr>
        <w:t> A student called to active duty may file for a military leave by submitting official military documentation. In accordance with federal law, the term of the leave will depend on the anticipated period of active duty service.</w:t>
      </w:r>
    </w:p>
    <w:p w14:paraId="0000025C" w14:textId="77777777" w:rsidR="00CD3527" w:rsidRDefault="007F4AED">
      <w:pPr>
        <w:shd w:val="clear" w:color="auto" w:fill="FFFFFF"/>
        <w:spacing w:after="150"/>
        <w:rPr>
          <w:rFonts w:ascii="Cambria" w:eastAsia="Cambria" w:hAnsi="Cambria" w:cs="Cambria"/>
          <w:color w:val="333333"/>
        </w:rPr>
      </w:pPr>
      <w:r>
        <w:rPr>
          <w:rFonts w:ascii="Cambria" w:eastAsia="Cambria" w:hAnsi="Cambria" w:cs="Cambria"/>
          <w:color w:val="333333"/>
        </w:rPr>
        <w:t>Approved military leaves will extend the Period of Candidacy for Master of Arts, Master of Science, and Master of Education students, the Period of Eligibility for Doctor of Philosophy students, and the Period of Certification (if applicable) for all doctoral students for the period of the leave.</w:t>
      </w:r>
    </w:p>
    <w:p w14:paraId="0000025D" w14:textId="77777777" w:rsidR="00CD3527" w:rsidRDefault="007F4AED">
      <w:pPr>
        <w:shd w:val="clear" w:color="auto" w:fill="FFFFFF"/>
        <w:spacing w:after="150"/>
        <w:rPr>
          <w:rFonts w:ascii="Cambria" w:eastAsia="Cambria" w:hAnsi="Cambria" w:cs="Cambria"/>
          <w:color w:val="333333"/>
        </w:rPr>
      </w:pPr>
      <w:r>
        <w:rPr>
          <w:rFonts w:ascii="Cambria" w:eastAsia="Cambria" w:hAnsi="Cambria" w:cs="Cambria"/>
          <w:b/>
          <w:color w:val="333333"/>
        </w:rPr>
        <w:lastRenderedPageBreak/>
        <w:t>Personal:</w:t>
      </w:r>
      <w:r>
        <w:rPr>
          <w:rFonts w:ascii="Cambria" w:eastAsia="Cambria" w:hAnsi="Cambria" w:cs="Cambria"/>
          <w:color w:val="333333"/>
        </w:rPr>
        <w:t> A student who finds it necessary to interrupt study temporarily but is not eligible for a medical or military leave may seek a personal leave. A personal leave will be granted only for significant professional, personal and family events that effectively preclude continued participation in a degree program. A personal leave is granted for no longer than one academic term but may be renewed for a subsequent academic term upon supplemental documentation that a continued leave is warranted due to the student's significant professional, personal, or family issues. The maximum cumulative length of a personal leave is one year.</w:t>
      </w:r>
    </w:p>
    <w:p w14:paraId="0000025E" w14:textId="77777777" w:rsidR="00CD3527" w:rsidRDefault="007F4AED">
      <w:pPr>
        <w:shd w:val="clear" w:color="auto" w:fill="FFFFFF"/>
        <w:spacing w:after="150"/>
        <w:rPr>
          <w:rFonts w:ascii="Cambria" w:eastAsia="Cambria" w:hAnsi="Cambria" w:cs="Cambria"/>
          <w:color w:val="333333"/>
        </w:rPr>
      </w:pPr>
      <w:r>
        <w:rPr>
          <w:rFonts w:ascii="Cambria" w:eastAsia="Cambria" w:hAnsi="Cambria" w:cs="Cambria"/>
          <w:color w:val="333333"/>
        </w:rPr>
        <w:t>Approved personal leaves </w:t>
      </w:r>
      <w:r>
        <w:rPr>
          <w:rFonts w:ascii="Cambria" w:eastAsia="Cambria" w:hAnsi="Cambria" w:cs="Cambria"/>
          <w:b/>
          <w:color w:val="333333"/>
          <w:u w:val="single"/>
        </w:rPr>
        <w:t>WILL NOT</w:t>
      </w:r>
      <w:r>
        <w:rPr>
          <w:rFonts w:ascii="Cambria" w:eastAsia="Cambria" w:hAnsi="Cambria" w:cs="Cambria"/>
          <w:color w:val="333333"/>
        </w:rPr>
        <w:t> extend the Period of Candidacy for Master of Arts, Master of Science, and Master of Education students and the Period of Certification (if applicable) for all doctoral students for the period of the leave. Currently, Doctor of Philosophy students are not authorized to take personal leaves.</w:t>
      </w:r>
    </w:p>
    <w:p w14:paraId="0000025F" w14:textId="77777777" w:rsidR="00CD3527" w:rsidRDefault="007F4AED">
      <w:pPr>
        <w:shd w:val="clear" w:color="auto" w:fill="FFFFFF"/>
        <w:spacing w:after="150"/>
        <w:rPr>
          <w:rFonts w:ascii="Cambria" w:eastAsia="Cambria" w:hAnsi="Cambria" w:cs="Cambria"/>
          <w:color w:val="333333"/>
        </w:rPr>
      </w:pPr>
      <w:r>
        <w:rPr>
          <w:rFonts w:ascii="Cambria" w:eastAsia="Cambria" w:hAnsi="Cambria" w:cs="Cambria"/>
          <w:color w:val="333333"/>
        </w:rPr>
        <w:t>A request for a personal leave must be submitted on or before the last day of the change of program (add/drop) period for the term for which the leave is effective.</w:t>
      </w:r>
    </w:p>
    <w:p w14:paraId="00000260" w14:textId="77777777" w:rsidR="00CD3527" w:rsidRDefault="00CD3527">
      <w:pPr>
        <w:pBdr>
          <w:top w:val="nil"/>
          <w:left w:val="nil"/>
          <w:bottom w:val="nil"/>
          <w:right w:val="nil"/>
          <w:between w:val="nil"/>
        </w:pBdr>
        <w:rPr>
          <w:rFonts w:ascii="Cambria" w:eastAsia="Cambria" w:hAnsi="Cambria" w:cs="Cambria"/>
          <w:color w:val="000000"/>
        </w:rPr>
      </w:pPr>
    </w:p>
    <w:p w14:paraId="00000261"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u w:val="single"/>
        </w:rPr>
        <w:t>Academic Probation</w:t>
      </w:r>
      <w:r>
        <w:rPr>
          <w:rFonts w:ascii="Cambria" w:eastAsia="Cambria" w:hAnsi="Cambria" w:cs="Cambria"/>
          <w:color w:val="000000"/>
        </w:rPr>
        <w:t xml:space="preserve"> is automatic when a student registers with two or more current Incompletes. Generally, students on probation will be allowed to register for a limited course load (i.e., practicum and one other course). Students on probation are expected to make up their Incompletes during this semester. Students may also be placed on probation for failing to adhere to the policies noted either in this Handbook or in the Dean Hope Center Handbook. The Faculty reserves the right to withdraw any student from the program who fails to fulfill the terms of his or her probation, who fails to make adequate progress academically (e.g., on his or her dissertation) or clinically, who plagiarizes the work of others, and/or who violates the ethical principles of the APA. </w:t>
      </w:r>
    </w:p>
    <w:p w14:paraId="00000262" w14:textId="77777777" w:rsidR="00CD3527" w:rsidRDefault="00CD3527">
      <w:pPr>
        <w:pBdr>
          <w:top w:val="nil"/>
          <w:left w:val="nil"/>
          <w:bottom w:val="nil"/>
          <w:right w:val="nil"/>
          <w:between w:val="nil"/>
        </w:pBdr>
        <w:rPr>
          <w:rFonts w:ascii="Cambria" w:eastAsia="Cambria" w:hAnsi="Cambria" w:cs="Cambria"/>
          <w:color w:val="000000"/>
        </w:rPr>
      </w:pPr>
    </w:p>
    <w:p w14:paraId="4EC113E9" w14:textId="6025AF15" w:rsidR="00731A15" w:rsidRPr="00731A15" w:rsidRDefault="00731A15" w:rsidP="00731A15">
      <w:pPr>
        <w:rPr>
          <w:rFonts w:ascii="Cambria" w:eastAsia="Cambria" w:hAnsi="Cambria" w:cs="Cambria"/>
          <w:b/>
          <w:color w:val="000000"/>
          <w:sz w:val="32"/>
          <w:szCs w:val="32"/>
        </w:rPr>
      </w:pPr>
      <w:bookmarkStart w:id="31" w:name="_heading=h.49x2ik5" w:colFirst="0" w:colLast="0"/>
      <w:bookmarkEnd w:id="31"/>
      <w:r>
        <w:br w:type="page"/>
      </w:r>
    </w:p>
    <w:p w14:paraId="00000263" w14:textId="279603FA" w:rsidR="00CD3527" w:rsidRDefault="007F4AED">
      <w:pPr>
        <w:pStyle w:val="Heading1"/>
      </w:pPr>
      <w:r>
        <w:lastRenderedPageBreak/>
        <w:t>Grievances, Responsibilities, and Obligations</w:t>
      </w:r>
    </w:p>
    <w:p w14:paraId="00000264" w14:textId="77777777" w:rsidR="00CD3527" w:rsidRDefault="00CD3527">
      <w:pPr>
        <w:pBdr>
          <w:top w:val="nil"/>
          <w:left w:val="nil"/>
          <w:bottom w:val="nil"/>
          <w:right w:val="nil"/>
          <w:between w:val="nil"/>
        </w:pBdr>
        <w:rPr>
          <w:rFonts w:ascii="Cambria" w:eastAsia="Cambria" w:hAnsi="Cambria" w:cs="Cambria"/>
          <w:color w:val="000000"/>
        </w:rPr>
      </w:pPr>
    </w:p>
    <w:p w14:paraId="00000265"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b/>
          <w:color w:val="000000"/>
          <w:u w:val="single"/>
        </w:rPr>
        <w:t>Grievance Procedures</w:t>
      </w:r>
      <w:r>
        <w:rPr>
          <w:rFonts w:ascii="Cambria" w:eastAsia="Cambria" w:hAnsi="Cambria" w:cs="Cambria"/>
          <w:color w:val="000000"/>
        </w:rPr>
        <w:t xml:space="preserve">. Teachers College provides both informal and formal grievance and dispute resolution procedures.  </w:t>
      </w:r>
    </w:p>
    <w:p w14:paraId="00000266" w14:textId="49C6F9E0" w:rsidR="00CD3527" w:rsidRDefault="007F4AED">
      <w:pPr>
        <w:pBdr>
          <w:top w:val="nil"/>
          <w:left w:val="nil"/>
          <w:bottom w:val="nil"/>
          <w:right w:val="nil"/>
          <w:between w:val="nil"/>
        </w:pBdr>
        <w:spacing w:before="280" w:after="280"/>
        <w:rPr>
          <w:rFonts w:ascii="Cambria" w:eastAsia="Cambria" w:hAnsi="Cambria" w:cs="Cambria"/>
          <w:color w:val="000000"/>
        </w:rPr>
      </w:pPr>
      <w:r>
        <w:rPr>
          <w:rFonts w:ascii="Cambria" w:eastAsia="Cambria" w:hAnsi="Cambria" w:cs="Cambria"/>
          <w:color w:val="000000"/>
          <w:u w:val="single"/>
        </w:rPr>
        <w:t>Informal Procedures</w:t>
      </w:r>
      <w:r>
        <w:rPr>
          <w:rFonts w:ascii="Cambria" w:eastAsia="Cambria" w:hAnsi="Cambria" w:cs="Cambria"/>
          <w:b/>
          <w:color w:val="000000"/>
          <w:u w:val="single"/>
        </w:rPr>
        <w:t>.</w:t>
      </w:r>
      <w:r>
        <w:rPr>
          <w:rFonts w:ascii="Cambria" w:eastAsia="Cambria" w:hAnsi="Cambria" w:cs="Cambria"/>
          <w:color w:val="000000"/>
        </w:rPr>
        <w:t xml:space="preserve">  </w:t>
      </w:r>
      <w:r>
        <w:rPr>
          <w:rFonts w:ascii="Cambria" w:eastAsia="Cambria" w:hAnsi="Cambria" w:cs="Cambria"/>
          <w:color w:val="333333"/>
        </w:rPr>
        <w:t>The College believes that most individuals with concerns, misunderstandings</w:t>
      </w:r>
      <w:r w:rsidR="00C51C0D">
        <w:rPr>
          <w:rFonts w:ascii="Cambria" w:eastAsia="Cambria" w:hAnsi="Cambria" w:cs="Cambria"/>
          <w:color w:val="333333"/>
        </w:rPr>
        <w:t>,</w:t>
      </w:r>
      <w:r>
        <w:rPr>
          <w:rFonts w:ascii="Cambria" w:eastAsia="Cambria" w:hAnsi="Cambria" w:cs="Cambria"/>
          <w:color w:val="333333"/>
        </w:rPr>
        <w:t xml:space="preserve"> and disputes are more likely to come forward if informal procedures are available.  In the interests of resolving such matters promptly and efficiently, the College provides numerous options to obtain information and raise concerns about other members of the TC community (or visitors) in an informal manner. The College encourages individuals to begin discussions and resolutions with people in their departments, programs, and units, if applicable and comfortable.</w:t>
      </w:r>
    </w:p>
    <w:p w14:paraId="00000267" w14:textId="45D3CAF0" w:rsidR="00CD3527" w:rsidRDefault="007F4AED">
      <w:pPr>
        <w:spacing w:after="280"/>
      </w:pPr>
      <w:r>
        <w:rPr>
          <w:rFonts w:ascii="Cambria" w:eastAsia="Cambria" w:hAnsi="Cambria" w:cs="Cambria"/>
          <w:color w:val="000000"/>
          <w:u w:val="single"/>
        </w:rPr>
        <w:t>General Procedures.</w:t>
      </w:r>
      <w:r>
        <w:rPr>
          <w:rFonts w:ascii="Cambria" w:eastAsia="Cambria" w:hAnsi="Cambria" w:cs="Cambria"/>
          <w:color w:val="000000"/>
        </w:rPr>
        <w:t xml:space="preserve"> Students with concerns or problems are encouraged to go first to the faculty member, and if the concern is not resolved, contact their program coordinator (in our case, the DCT) or department chair. If the concern or problem is not resolved at the program or departmental level, students may contact the Ombudsperson (currently, Stephen Peverly, ombuds@tc.columbia.edu), or the Office of the Vice Provost for Student Affairs (currently, Tom Rock, </w:t>
      </w:r>
      <w:hyperlink r:id="rId42" w:history="1">
        <w:r w:rsidR="00C51C0D" w:rsidRPr="00391AEF">
          <w:rPr>
            <w:rStyle w:val="Hyperlink"/>
            <w:rFonts w:ascii="Cambria" w:eastAsia="Cambria" w:hAnsi="Cambria" w:cs="Cambria"/>
          </w:rPr>
          <w:t>rock@tc.columbia.edu)._</w:t>
        </w:r>
      </w:hyperlink>
      <w:r>
        <w:rPr>
          <w:rFonts w:ascii="Cambria" w:eastAsia="Cambria" w:hAnsi="Cambria" w:cs="Cambria"/>
        </w:rPr>
        <w:t>In addition, any member of the community may contact the Vice President for Diversity and Community Affairs, Janice Robinson (</w:t>
      </w:r>
      <w:hyperlink r:id="rId43">
        <w:r>
          <w:rPr>
            <w:rFonts w:ascii="Cambria" w:eastAsia="Cambria" w:hAnsi="Cambria" w:cs="Cambria"/>
            <w:color w:val="0000FF"/>
            <w:u w:val="single"/>
          </w:rPr>
          <w:t>jrobinson@tc.columbia.edu</w:t>
        </w:r>
      </w:hyperlink>
      <w:r>
        <w:rPr>
          <w:rFonts w:ascii="Cambria" w:eastAsia="Cambria" w:hAnsi="Cambria" w:cs="Cambria"/>
          <w:color w:val="337AB7"/>
        </w:rPr>
        <w:t>)</w:t>
      </w:r>
      <w:r>
        <w:rPr>
          <w:rFonts w:ascii="Cambria" w:eastAsia="Cambria" w:hAnsi="Cambria" w:cs="Cambria"/>
        </w:rPr>
        <w:t>.</w:t>
      </w:r>
      <w:r>
        <w:t xml:space="preserve">  </w:t>
      </w:r>
    </w:p>
    <w:p w14:paraId="00000268" w14:textId="77777777" w:rsidR="00CD3527" w:rsidRDefault="007F4AED">
      <w:pPr>
        <w:spacing w:after="280"/>
        <w:rPr>
          <w:rFonts w:ascii="Cambria" w:eastAsia="Cambria" w:hAnsi="Cambria" w:cs="Cambria"/>
          <w:b/>
          <w:color w:val="333333"/>
          <w:u w:val="single"/>
        </w:rPr>
      </w:pPr>
      <w:r>
        <w:rPr>
          <w:rFonts w:ascii="Cambria" w:eastAsia="Cambria" w:hAnsi="Cambria" w:cs="Cambria"/>
          <w:b/>
          <w:color w:val="333333"/>
          <w:u w:val="single"/>
        </w:rPr>
        <w:t>Special Situations.</w:t>
      </w:r>
    </w:p>
    <w:p w14:paraId="00000269" w14:textId="77777777" w:rsidR="00CD3527" w:rsidRDefault="007F4AED">
      <w:pPr>
        <w:numPr>
          <w:ilvl w:val="0"/>
          <w:numId w:val="34"/>
        </w:numPr>
        <w:shd w:val="clear" w:color="auto" w:fill="FFFFFF"/>
        <w:spacing w:before="280" w:after="280"/>
        <w:ind w:left="1470"/>
        <w:rPr>
          <w:rFonts w:ascii="Cambria" w:eastAsia="Cambria" w:hAnsi="Cambria" w:cs="Cambria"/>
          <w:color w:val="333333"/>
        </w:rPr>
      </w:pPr>
      <w:r>
        <w:rPr>
          <w:rFonts w:ascii="Cambria" w:eastAsia="Cambria" w:hAnsi="Cambria" w:cs="Cambria"/>
          <w:b/>
          <w:color w:val="333333"/>
        </w:rPr>
        <w:t>Crimes; Health or Safety Emergencies.</w:t>
      </w:r>
      <w:r>
        <w:rPr>
          <w:rFonts w:ascii="Cambria" w:eastAsia="Cambria" w:hAnsi="Cambria" w:cs="Cambria"/>
          <w:color w:val="333333"/>
        </w:rPr>
        <w:t>  Anyone who witnesses or is the victim of a crime or who is concerned about a health or safety emergency should immediately contact the Office of Public Safety. Emergency: (212) 678-3333.  Non-emergency: (212) 678-3220. </w:t>
      </w:r>
    </w:p>
    <w:p w14:paraId="0000026A" w14:textId="77777777" w:rsidR="00CD3527" w:rsidRDefault="007F4AED">
      <w:pPr>
        <w:numPr>
          <w:ilvl w:val="0"/>
          <w:numId w:val="27"/>
        </w:numPr>
        <w:shd w:val="clear" w:color="auto" w:fill="FFFFFF"/>
        <w:spacing w:before="280" w:after="280"/>
        <w:ind w:left="1470"/>
        <w:rPr>
          <w:rFonts w:ascii="Cambria" w:eastAsia="Cambria" w:hAnsi="Cambria" w:cs="Cambria"/>
          <w:color w:val="333333"/>
        </w:rPr>
      </w:pPr>
      <w:r>
        <w:rPr>
          <w:rFonts w:ascii="Cambria" w:eastAsia="Cambria" w:hAnsi="Cambria" w:cs="Cambria"/>
          <w:b/>
          <w:color w:val="333333"/>
        </w:rPr>
        <w:t>For sexual harassment and other forms of discriminatory harassment matters</w:t>
      </w:r>
      <w:r>
        <w:rPr>
          <w:rFonts w:ascii="Cambria" w:eastAsia="Cambria" w:hAnsi="Cambria" w:cs="Cambria"/>
          <w:color w:val="333333"/>
        </w:rPr>
        <w:t>, see the Policy on Protection from Harassment at </w:t>
      </w:r>
      <w:hyperlink r:id="rId44">
        <w:r>
          <w:rPr>
            <w:rFonts w:ascii="Cambria" w:eastAsia="Cambria" w:hAnsi="Cambria" w:cs="Cambria"/>
            <w:color w:val="337AB7"/>
          </w:rPr>
          <w:t>www.tc.edu/policylibrary/protection_from_harassment</w:t>
        </w:r>
      </w:hyperlink>
      <w:r>
        <w:rPr>
          <w:rFonts w:ascii="Cambria" w:eastAsia="Cambria" w:hAnsi="Cambria" w:cs="Cambria"/>
          <w:color w:val="333333"/>
        </w:rPr>
        <w:t>.</w:t>
      </w:r>
    </w:p>
    <w:p w14:paraId="0000026B" w14:textId="77777777" w:rsidR="00CD3527" w:rsidRDefault="007F4AED">
      <w:pPr>
        <w:numPr>
          <w:ilvl w:val="0"/>
          <w:numId w:val="4"/>
        </w:numPr>
        <w:shd w:val="clear" w:color="auto" w:fill="FFFFFF"/>
        <w:spacing w:before="280" w:after="280"/>
        <w:ind w:left="1470"/>
        <w:rPr>
          <w:rFonts w:ascii="Cambria" w:eastAsia="Cambria" w:hAnsi="Cambria" w:cs="Cambria"/>
          <w:color w:val="333333"/>
        </w:rPr>
      </w:pPr>
      <w:r>
        <w:rPr>
          <w:rFonts w:ascii="Cambria" w:eastAsia="Cambria" w:hAnsi="Cambria" w:cs="Cambria"/>
          <w:b/>
          <w:color w:val="333333"/>
        </w:rPr>
        <w:t>Sexual Assault, Gender-Based Misconduct, Stalking, and Intimate Partner Violence.</w:t>
      </w:r>
      <w:r>
        <w:rPr>
          <w:rFonts w:ascii="Cambria" w:eastAsia="Cambria" w:hAnsi="Cambria" w:cs="Cambria"/>
          <w:color w:val="333333"/>
        </w:rPr>
        <w:t> Reports of gender-based misconduct by TC or other Columbia students should be directed to Student Services for Gender Based and Sexual Misconduct; </w:t>
      </w:r>
      <w:hyperlink r:id="rId45">
        <w:r>
          <w:rPr>
            <w:rFonts w:ascii="Cambria" w:eastAsia="Cambria" w:hAnsi="Cambria" w:cs="Cambria"/>
            <w:color w:val="337AB7"/>
          </w:rPr>
          <w:t>sexualrespect.columbia.edu</w:t>
        </w:r>
      </w:hyperlink>
      <w:r>
        <w:rPr>
          <w:rFonts w:ascii="Cambria" w:eastAsia="Cambria" w:hAnsi="Cambria" w:cs="Cambria"/>
          <w:color w:val="333333"/>
        </w:rPr>
        <w:t>.  The University’s Gender-Based Misconduct Policies for Students can be found at </w:t>
      </w:r>
      <w:hyperlink r:id="rId46">
        <w:r>
          <w:rPr>
            <w:rFonts w:ascii="Cambria" w:eastAsia="Cambria" w:hAnsi="Cambria" w:cs="Cambria"/>
            <w:color w:val="337AB7"/>
          </w:rPr>
          <w:t>sexualrespect.columbia.edu/university-policy</w:t>
        </w:r>
      </w:hyperlink>
      <w:r>
        <w:rPr>
          <w:rFonts w:ascii="Cambria" w:eastAsia="Cambria" w:hAnsi="Cambria" w:cs="Cambria"/>
          <w:color w:val="333333"/>
        </w:rPr>
        <w:t>.</w:t>
      </w:r>
    </w:p>
    <w:p w14:paraId="0000026C" w14:textId="77777777" w:rsidR="00CD3527" w:rsidRDefault="007F4AED">
      <w:pPr>
        <w:numPr>
          <w:ilvl w:val="0"/>
          <w:numId w:val="8"/>
        </w:numPr>
        <w:shd w:val="clear" w:color="auto" w:fill="FFFFFF"/>
        <w:spacing w:before="280" w:after="280"/>
        <w:ind w:left="1470"/>
        <w:rPr>
          <w:rFonts w:ascii="Cambria" w:eastAsia="Cambria" w:hAnsi="Cambria" w:cs="Cambria"/>
          <w:color w:val="333333"/>
        </w:rPr>
      </w:pPr>
      <w:r>
        <w:rPr>
          <w:rFonts w:ascii="Cambria" w:eastAsia="Cambria" w:hAnsi="Cambria" w:cs="Cambria"/>
          <w:b/>
          <w:color w:val="333333"/>
        </w:rPr>
        <w:t>People with Disabilities. </w:t>
      </w:r>
      <w:r>
        <w:rPr>
          <w:rFonts w:ascii="Cambria" w:eastAsia="Cambria" w:hAnsi="Cambria" w:cs="Cambria"/>
          <w:color w:val="333333"/>
        </w:rPr>
        <w:t>Any person with disabilities who seeks reasonable accommodations should contact the Office of Access and Services for Individuals with Disabilities (OASID) at (212) 678-3689 or  </w:t>
      </w:r>
      <w:hyperlink r:id="rId47">
        <w:r>
          <w:rPr>
            <w:rFonts w:ascii="Cambria" w:eastAsia="Cambria" w:hAnsi="Cambria" w:cs="Cambria"/>
            <w:color w:val="337AB7"/>
          </w:rPr>
          <w:t>oasid@tc.columbia.edu</w:t>
        </w:r>
      </w:hyperlink>
      <w:r>
        <w:rPr>
          <w:rFonts w:ascii="Cambria" w:eastAsia="Cambria" w:hAnsi="Cambria" w:cs="Cambria"/>
          <w:color w:val="333333"/>
        </w:rPr>
        <w:t xml:space="preserve">. Individuals with questions about providing </w:t>
      </w:r>
      <w:r>
        <w:rPr>
          <w:rFonts w:ascii="Cambria" w:eastAsia="Cambria" w:hAnsi="Cambria" w:cs="Cambria"/>
          <w:color w:val="333333"/>
        </w:rPr>
        <w:lastRenderedPageBreak/>
        <w:t>reasonable accommodations may also see the OASID website, </w:t>
      </w:r>
      <w:hyperlink r:id="rId48">
        <w:r>
          <w:rPr>
            <w:rFonts w:ascii="Cambria" w:eastAsia="Cambria" w:hAnsi="Cambria" w:cs="Cambria"/>
            <w:color w:val="337AB7"/>
          </w:rPr>
          <w:t>OASID website</w:t>
        </w:r>
      </w:hyperlink>
      <w:r>
        <w:rPr>
          <w:rFonts w:ascii="Cambria" w:eastAsia="Cambria" w:hAnsi="Cambria" w:cs="Cambria"/>
          <w:color w:val="333333"/>
        </w:rPr>
        <w:t>.</w:t>
      </w:r>
    </w:p>
    <w:p w14:paraId="0000026D" w14:textId="77777777" w:rsidR="00CD3527" w:rsidRDefault="007F4AED">
      <w:pPr>
        <w:numPr>
          <w:ilvl w:val="0"/>
          <w:numId w:val="13"/>
        </w:numPr>
        <w:shd w:val="clear" w:color="auto" w:fill="FFFFFF"/>
        <w:spacing w:before="280" w:after="280"/>
        <w:ind w:left="1470"/>
        <w:rPr>
          <w:rFonts w:ascii="Cambria" w:eastAsia="Cambria" w:hAnsi="Cambria" w:cs="Cambria"/>
          <w:color w:val="333333"/>
        </w:rPr>
      </w:pPr>
      <w:r>
        <w:rPr>
          <w:rFonts w:ascii="Cambria" w:eastAsia="Cambria" w:hAnsi="Cambria" w:cs="Cambria"/>
          <w:b/>
          <w:color w:val="333333"/>
        </w:rPr>
        <w:t>Environmental Health and Safety.</w:t>
      </w:r>
      <w:r>
        <w:rPr>
          <w:rFonts w:ascii="Cambria" w:eastAsia="Cambria" w:hAnsi="Cambria" w:cs="Cambria"/>
          <w:color w:val="333333"/>
        </w:rPr>
        <w:t> Concerns about environmental health or safety should be directed to Patrick Mathelier in the Office of Environmental Health and Safety at (212) 678-6640 or </w:t>
      </w:r>
      <w:hyperlink r:id="rId49">
        <w:r>
          <w:rPr>
            <w:rFonts w:ascii="Cambria" w:eastAsia="Cambria" w:hAnsi="Cambria" w:cs="Cambria"/>
            <w:color w:val="337AB7"/>
          </w:rPr>
          <w:t>Mathelier@tc.columbia.edu.</w:t>
        </w:r>
      </w:hyperlink>
      <w:r>
        <w:rPr>
          <w:rFonts w:ascii="Cambria" w:eastAsia="Cambria" w:hAnsi="Cambria" w:cs="Cambria"/>
          <w:color w:val="333333"/>
        </w:rPr>
        <w:t> You can also visit www.tc.columbia.edu/environmentalhealth/.</w:t>
      </w:r>
    </w:p>
    <w:p w14:paraId="0000026E" w14:textId="77777777" w:rsidR="00CD3527" w:rsidRDefault="007F4AED">
      <w:pPr>
        <w:numPr>
          <w:ilvl w:val="0"/>
          <w:numId w:val="47"/>
        </w:numPr>
        <w:shd w:val="clear" w:color="auto" w:fill="FFFFFF"/>
        <w:spacing w:before="280" w:after="280"/>
        <w:ind w:left="1470"/>
        <w:rPr>
          <w:rFonts w:ascii="Cambria" w:eastAsia="Cambria" w:hAnsi="Cambria" w:cs="Cambria"/>
          <w:color w:val="333333"/>
        </w:rPr>
      </w:pPr>
      <w:r>
        <w:rPr>
          <w:rFonts w:ascii="Cambria" w:eastAsia="Cambria" w:hAnsi="Cambria" w:cs="Cambria"/>
          <w:b/>
          <w:color w:val="333333"/>
        </w:rPr>
        <w:t>Ethics Point reporting of financial concerns and health and safety concerns. </w:t>
      </w:r>
      <w:r>
        <w:rPr>
          <w:rFonts w:ascii="Cambria" w:eastAsia="Cambria" w:hAnsi="Cambria" w:cs="Cambria"/>
          <w:color w:val="333333"/>
        </w:rPr>
        <w:t>The College operates a website and 800 number that permits the anonymous reporting of concerns about financial matters and health and safety matters. For more information, call 888-329-6420 or see </w:t>
      </w:r>
      <w:hyperlink r:id="rId50">
        <w:r>
          <w:rPr>
            <w:rFonts w:ascii="Cambria" w:eastAsia="Cambria" w:hAnsi="Cambria" w:cs="Cambria"/>
            <w:color w:val="337AB7"/>
          </w:rPr>
          <w:t>https://secure.ethicspoint.com/domain/media/en/gui/22716/index.html</w:t>
        </w:r>
      </w:hyperlink>
      <w:r>
        <w:rPr>
          <w:rFonts w:ascii="Cambria" w:eastAsia="Cambria" w:hAnsi="Cambria" w:cs="Cambria"/>
          <w:color w:val="333333"/>
        </w:rPr>
        <w:t>.  </w:t>
      </w:r>
    </w:p>
    <w:p w14:paraId="0000026F" w14:textId="77777777" w:rsidR="00CD3527" w:rsidRDefault="007F4AED">
      <w:pPr>
        <w:numPr>
          <w:ilvl w:val="0"/>
          <w:numId w:val="48"/>
        </w:numPr>
        <w:shd w:val="clear" w:color="auto" w:fill="FFFFFF"/>
        <w:spacing w:before="280" w:after="280"/>
        <w:ind w:left="1470"/>
        <w:rPr>
          <w:rFonts w:ascii="Cambria" w:eastAsia="Cambria" w:hAnsi="Cambria" w:cs="Cambria"/>
          <w:color w:val="333333"/>
        </w:rPr>
      </w:pPr>
      <w:r>
        <w:rPr>
          <w:rFonts w:ascii="Cambria" w:eastAsia="Cambria" w:hAnsi="Cambria" w:cs="Cambria"/>
          <w:b/>
          <w:color w:val="333333"/>
        </w:rPr>
        <w:t>Student Residence Halls.</w:t>
      </w:r>
      <w:r>
        <w:rPr>
          <w:rFonts w:ascii="Cambria" w:eastAsia="Cambria" w:hAnsi="Cambria" w:cs="Cambria"/>
          <w:color w:val="333333"/>
        </w:rPr>
        <w:t> Students with housing concerns or problems are encouraged to speak to Dewayne White, Selema Moliga, or a residential services staff member at (212) 678-3235 or </w:t>
      </w:r>
      <w:hyperlink r:id="rId51">
        <w:r>
          <w:rPr>
            <w:rFonts w:ascii="Cambria" w:eastAsia="Cambria" w:hAnsi="Cambria" w:cs="Cambria"/>
            <w:color w:val="337AB7"/>
          </w:rPr>
          <w:t>moliga@tc.columbia.edu</w:t>
        </w:r>
      </w:hyperlink>
      <w:r>
        <w:rPr>
          <w:rFonts w:ascii="Cambria" w:eastAsia="Cambria" w:hAnsi="Cambria" w:cs="Cambria"/>
          <w:color w:val="333333"/>
        </w:rPr>
        <w:t>. </w:t>
      </w:r>
    </w:p>
    <w:p w14:paraId="00000270" w14:textId="77777777" w:rsidR="00CD3527" w:rsidRDefault="007F4AED">
      <w:pPr>
        <w:numPr>
          <w:ilvl w:val="0"/>
          <w:numId w:val="86"/>
        </w:numPr>
        <w:shd w:val="clear" w:color="auto" w:fill="FFFFFF"/>
        <w:spacing w:before="280" w:after="280"/>
        <w:ind w:left="1470"/>
        <w:rPr>
          <w:rFonts w:ascii="Cambria" w:eastAsia="Cambria" w:hAnsi="Cambria" w:cs="Cambria"/>
          <w:color w:val="333333"/>
        </w:rPr>
      </w:pPr>
      <w:r>
        <w:rPr>
          <w:rFonts w:ascii="Cambria" w:eastAsia="Cambria" w:hAnsi="Cambria" w:cs="Cambria"/>
          <w:b/>
          <w:color w:val="333333"/>
        </w:rPr>
        <w:t>Student Grade Corrections.</w:t>
      </w:r>
      <w:r>
        <w:rPr>
          <w:rFonts w:ascii="Cambria" w:eastAsia="Cambria" w:hAnsi="Cambria" w:cs="Cambria"/>
          <w:color w:val="333333"/>
        </w:rPr>
        <w:t> Students with grade correction concerns should see the Grade Corrections Policy and next steps at </w:t>
      </w:r>
      <w:hyperlink r:id="rId52">
        <w:r>
          <w:rPr>
            <w:rFonts w:ascii="Cambria" w:eastAsia="Cambria" w:hAnsi="Cambria" w:cs="Cambria"/>
            <w:color w:val="337AB7"/>
          </w:rPr>
          <w:t>http://www.tc.columbia.edu/policylibrary/associate-provost-enrollment-services/grade-correction-/</w:t>
        </w:r>
      </w:hyperlink>
      <w:r>
        <w:rPr>
          <w:rFonts w:ascii="Cambria" w:eastAsia="Cambria" w:hAnsi="Cambria" w:cs="Cambria"/>
          <w:color w:val="333333"/>
        </w:rPr>
        <w:t>.</w:t>
      </w:r>
    </w:p>
    <w:p w14:paraId="00000271" w14:textId="77777777" w:rsidR="00CD3527" w:rsidRDefault="007F4AED">
      <w:pPr>
        <w:shd w:val="clear" w:color="auto" w:fill="FFFFFF"/>
        <w:spacing w:after="150"/>
        <w:rPr>
          <w:rFonts w:ascii="Cambria" w:eastAsia="Cambria" w:hAnsi="Cambria" w:cs="Cambria"/>
          <w:color w:val="333333"/>
        </w:rPr>
      </w:pPr>
      <w:r>
        <w:rPr>
          <w:rFonts w:ascii="Cambria" w:eastAsia="Cambria" w:hAnsi="Cambria" w:cs="Cambria"/>
          <w:b/>
          <w:color w:val="333333"/>
          <w:u w:val="single"/>
        </w:rPr>
        <w:t>Formal Procedures.</w:t>
      </w:r>
      <w:r>
        <w:rPr>
          <w:rFonts w:ascii="Cambria" w:eastAsia="Cambria" w:hAnsi="Cambria" w:cs="Cambria"/>
          <w:color w:val="333333"/>
          <w:u w:val="single"/>
        </w:rPr>
        <w:t xml:space="preserve"> </w:t>
      </w:r>
      <w:r>
        <w:rPr>
          <w:rFonts w:ascii="Cambria" w:eastAsia="Cambria" w:hAnsi="Cambria" w:cs="Cambria"/>
          <w:color w:val="333333"/>
        </w:rPr>
        <w:t>The College maintains formal procedures for the resolution of certain grievances. Formal complaints should be filed in accordance with TC policies, specifically:</w:t>
      </w:r>
    </w:p>
    <w:p w14:paraId="00000272" w14:textId="77777777" w:rsidR="00CD3527" w:rsidRDefault="007F4AED">
      <w:pPr>
        <w:numPr>
          <w:ilvl w:val="0"/>
          <w:numId w:val="76"/>
        </w:numPr>
        <w:shd w:val="clear" w:color="auto" w:fill="FFFFFF"/>
        <w:spacing w:before="280" w:after="280"/>
        <w:ind w:left="1470"/>
        <w:rPr>
          <w:rFonts w:ascii="Cambria" w:eastAsia="Cambria" w:hAnsi="Cambria" w:cs="Cambria"/>
          <w:color w:val="333333"/>
        </w:rPr>
      </w:pPr>
      <w:r>
        <w:rPr>
          <w:rFonts w:ascii="Cambria" w:eastAsia="Cambria" w:hAnsi="Cambria" w:cs="Cambria"/>
          <w:b/>
          <w:color w:val="333333"/>
        </w:rPr>
        <w:t>For sexual harassment and other forms of discriminatory harassment matters</w:t>
      </w:r>
      <w:r>
        <w:rPr>
          <w:rFonts w:ascii="Cambria" w:eastAsia="Cambria" w:hAnsi="Cambria" w:cs="Cambria"/>
          <w:color w:val="333333"/>
        </w:rPr>
        <w:t> (Teachers College prohibits discrimination on the basis of race, color, religion, creed, sex, sexual orientation, national origin, ancestry, age, marital status, citizenship status, veteran status, disability, pregnancy, gender expression, or any other criterion specified by federal, state or local laws), see Policy on Protection from Harassment at </w:t>
      </w:r>
      <w:hyperlink r:id="rId53">
        <w:r>
          <w:rPr>
            <w:rFonts w:ascii="Cambria" w:eastAsia="Cambria" w:hAnsi="Cambria" w:cs="Cambria"/>
            <w:color w:val="337AB7"/>
          </w:rPr>
          <w:t>www.tc.edu/policylibrary/protection_from_harassment</w:t>
        </w:r>
      </w:hyperlink>
      <w:r>
        <w:rPr>
          <w:rFonts w:ascii="Cambria" w:eastAsia="Cambria" w:hAnsi="Cambria" w:cs="Cambria"/>
          <w:color w:val="333333"/>
        </w:rPr>
        <w:t>.</w:t>
      </w:r>
    </w:p>
    <w:p w14:paraId="00000273" w14:textId="77777777" w:rsidR="00CD3527" w:rsidRDefault="007F4AED">
      <w:pPr>
        <w:numPr>
          <w:ilvl w:val="0"/>
          <w:numId w:val="77"/>
        </w:numPr>
        <w:shd w:val="clear" w:color="auto" w:fill="FFFFFF"/>
        <w:spacing w:before="280" w:after="280"/>
        <w:ind w:left="1470"/>
        <w:rPr>
          <w:rFonts w:ascii="Cambria" w:eastAsia="Cambria" w:hAnsi="Cambria" w:cs="Cambria"/>
          <w:color w:val="333333"/>
        </w:rPr>
      </w:pPr>
      <w:r>
        <w:rPr>
          <w:rFonts w:ascii="Cambria" w:eastAsia="Cambria" w:hAnsi="Cambria" w:cs="Cambria"/>
          <w:b/>
          <w:color w:val="333333"/>
        </w:rPr>
        <w:t>Sexual Assault, Gender-Based Misconduct, Stalking, and Intimate Partner Violence</w:t>
      </w:r>
      <w:r>
        <w:rPr>
          <w:rFonts w:ascii="Cambria" w:eastAsia="Cambria" w:hAnsi="Cambria" w:cs="Cambria"/>
          <w:color w:val="333333"/>
        </w:rPr>
        <w:t>, see “Special Situations” above.</w:t>
      </w:r>
    </w:p>
    <w:p w14:paraId="00000274" w14:textId="77777777" w:rsidR="00CD3527" w:rsidRDefault="007F4AED">
      <w:pPr>
        <w:numPr>
          <w:ilvl w:val="0"/>
          <w:numId w:val="78"/>
        </w:numPr>
        <w:shd w:val="clear" w:color="auto" w:fill="FFFFFF"/>
        <w:spacing w:before="280" w:after="280"/>
        <w:ind w:left="1470"/>
        <w:rPr>
          <w:rFonts w:ascii="Cambria" w:eastAsia="Cambria" w:hAnsi="Cambria" w:cs="Cambria"/>
          <w:color w:val="333333"/>
        </w:rPr>
      </w:pPr>
      <w:r>
        <w:rPr>
          <w:rFonts w:ascii="Cambria" w:eastAsia="Cambria" w:hAnsi="Cambria" w:cs="Cambria"/>
          <w:b/>
          <w:color w:val="333333"/>
        </w:rPr>
        <w:t>For complaints about discrimination</w:t>
      </w:r>
      <w:r>
        <w:rPr>
          <w:rFonts w:ascii="Cambria" w:eastAsia="Cambria" w:hAnsi="Cambria" w:cs="Cambria"/>
          <w:color w:val="333333"/>
        </w:rPr>
        <w:t> (including failure to reasonably accommodate a person with disabilities), students and faculty may contact Tom Rock, Vice Provost for Student Affairs, at (212) 678-3083 or </w:t>
      </w:r>
      <w:hyperlink r:id="rId54">
        <w:r>
          <w:rPr>
            <w:rFonts w:ascii="Cambria" w:eastAsia="Cambria" w:hAnsi="Cambria" w:cs="Cambria"/>
            <w:color w:val="337AB7"/>
          </w:rPr>
          <w:t>rock@tc.columbia.edu</w:t>
        </w:r>
      </w:hyperlink>
      <w:r>
        <w:rPr>
          <w:rFonts w:ascii="Cambria" w:eastAsia="Cambria" w:hAnsi="Cambria" w:cs="Cambria"/>
          <w:color w:val="333333"/>
        </w:rPr>
        <w:t xml:space="preserve"> and other employees may contact the Assistant </w:t>
      </w:r>
      <w:r>
        <w:rPr>
          <w:rFonts w:ascii="Cambria" w:eastAsia="Cambria" w:hAnsi="Cambria" w:cs="Cambria"/>
          <w:color w:val="333333"/>
        </w:rPr>
        <w:lastRenderedPageBreak/>
        <w:t>Vice President of Human Resources, at (212) 678-3175 or eneva@tc.columbia.edu.  Such complaints should be made in writing.</w:t>
      </w:r>
    </w:p>
    <w:p w14:paraId="00000275" w14:textId="77777777" w:rsidR="00CD3527" w:rsidRDefault="007F4AED">
      <w:pPr>
        <w:numPr>
          <w:ilvl w:val="0"/>
          <w:numId w:val="72"/>
        </w:numPr>
        <w:shd w:val="clear" w:color="auto" w:fill="FFFFFF"/>
        <w:spacing w:before="280" w:after="280"/>
        <w:ind w:left="1470"/>
        <w:rPr>
          <w:rFonts w:ascii="Cambria" w:eastAsia="Cambria" w:hAnsi="Cambria" w:cs="Cambria"/>
        </w:rPr>
      </w:pPr>
      <w:r>
        <w:rPr>
          <w:rFonts w:ascii="Cambria" w:eastAsia="Cambria" w:hAnsi="Cambria" w:cs="Cambria"/>
          <w:b/>
          <w:color w:val="333333"/>
        </w:rPr>
        <w:t>Students with concerns or problems that have not been resolved informally</w:t>
      </w:r>
      <w:r>
        <w:rPr>
          <w:rFonts w:ascii="Cambria" w:eastAsia="Cambria" w:hAnsi="Cambria" w:cs="Cambria"/>
          <w:color w:val="333333"/>
        </w:rPr>
        <w:t> may contact Vice Provost for Student Affairs, Tom Rock, at (212) 678-3083 or </w:t>
      </w:r>
      <w:hyperlink r:id="rId55">
        <w:r>
          <w:rPr>
            <w:rFonts w:ascii="Cambria" w:eastAsia="Cambria" w:hAnsi="Cambria" w:cs="Cambria"/>
            <w:color w:val="337AB7"/>
          </w:rPr>
          <w:t>rock@tc.columbia.edu</w:t>
        </w:r>
      </w:hyperlink>
      <w:r>
        <w:rPr>
          <w:rFonts w:ascii="Cambria" w:eastAsia="Cambria" w:hAnsi="Cambria" w:cs="Cambria"/>
          <w:color w:val="333333"/>
        </w:rPr>
        <w:t>.</w:t>
      </w:r>
    </w:p>
    <w:p w14:paraId="00000276"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b/>
          <w:color w:val="000000"/>
          <w:u w:val="single"/>
        </w:rPr>
        <w:t>Student Rights and Responsibilities</w:t>
      </w:r>
      <w:r>
        <w:rPr>
          <w:rFonts w:ascii="Cambria" w:eastAsia="Cambria" w:hAnsi="Cambria" w:cs="Cambria"/>
          <w:color w:val="000000"/>
        </w:rPr>
        <w:t xml:space="preserve">: "A Guide to Students’ Rights and Responsibilities," obtainable from the Student Life Center in 528 Bldg Lobby, provides details concerning the due process procedures that are required when a charge is made against a student. It also describes procedures (note above) that are to be followed by a student who has a grievance. </w:t>
      </w:r>
    </w:p>
    <w:p w14:paraId="00000277"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br/>
      </w:r>
      <w:r>
        <w:rPr>
          <w:rFonts w:ascii="Cambria" w:eastAsia="Cambria" w:hAnsi="Cambria" w:cs="Cambria"/>
          <w:b/>
          <w:color w:val="000000"/>
          <w:u w:val="single"/>
        </w:rPr>
        <w:t>Work Obligations</w:t>
      </w:r>
      <w:r>
        <w:rPr>
          <w:rFonts w:ascii="Cambria" w:eastAsia="Cambria" w:hAnsi="Cambria" w:cs="Cambria"/>
          <w:color w:val="000000"/>
          <w:u w:val="single"/>
        </w:rPr>
        <w:t>:</w:t>
      </w:r>
      <w:r>
        <w:rPr>
          <w:rFonts w:ascii="Cambria" w:eastAsia="Cambria" w:hAnsi="Cambria" w:cs="Cambria"/>
          <w:color w:val="000000"/>
        </w:rPr>
        <w:t xml:space="preserve"> We recognize that some students must work part-time, but we are also concerned about the degree to which such work may interfere with progress through the program. We strongly urge that you weigh carefully the balance between financial necessity and this one-time opportunity for training. If you do need to work part-time, </w:t>
      </w:r>
      <w:r>
        <w:rPr>
          <w:rFonts w:ascii="Cambria" w:eastAsia="Cambria" w:hAnsi="Cambria" w:cs="Cambria"/>
          <w:b/>
          <w:i/>
          <w:color w:val="000000"/>
        </w:rPr>
        <w:t>you must discuss the nature and demands of such work with your advisor</w:t>
      </w:r>
      <w:r>
        <w:rPr>
          <w:rFonts w:ascii="Cambria" w:eastAsia="Cambria" w:hAnsi="Cambria" w:cs="Cambria"/>
          <w:color w:val="000000"/>
        </w:rPr>
        <w:t xml:space="preserve"> and, without exception, must be able to arrange time to meet clients and supervisors, attend classes (including Colloquium and Case Conference), and participate fully in your faculty member’s lab. </w:t>
      </w:r>
    </w:p>
    <w:p w14:paraId="00000278" w14:textId="77777777" w:rsidR="00CD3527" w:rsidRDefault="00CD3527">
      <w:pPr>
        <w:pBdr>
          <w:top w:val="nil"/>
          <w:left w:val="nil"/>
          <w:bottom w:val="nil"/>
          <w:right w:val="nil"/>
          <w:between w:val="nil"/>
        </w:pBdr>
        <w:rPr>
          <w:rFonts w:ascii="Cambria" w:eastAsia="Cambria" w:hAnsi="Cambria" w:cs="Cambria"/>
          <w:color w:val="000000"/>
        </w:rPr>
      </w:pPr>
    </w:p>
    <w:p w14:paraId="00000279"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b/>
          <w:color w:val="000000"/>
          <w:u w:val="single"/>
        </w:rPr>
        <w:t>Ph.D. Candidacy</w:t>
      </w:r>
      <w:r>
        <w:rPr>
          <w:rFonts w:ascii="Cambria" w:eastAsia="Cambria" w:hAnsi="Cambria" w:cs="Cambria"/>
          <w:color w:val="000000"/>
          <w:u w:val="single"/>
        </w:rPr>
        <w:t xml:space="preserve">: </w:t>
      </w:r>
      <w:r>
        <w:rPr>
          <w:rFonts w:ascii="Cambria" w:eastAsia="Cambria" w:hAnsi="Cambria" w:cs="Cambria"/>
          <w:color w:val="000000"/>
        </w:rPr>
        <w:t xml:space="preserve">University policy is that the Ph.D. degree must be earned </w:t>
      </w:r>
      <w:r>
        <w:rPr>
          <w:rFonts w:ascii="Cambria" w:eastAsia="Cambria" w:hAnsi="Cambria" w:cs="Cambria"/>
          <w:i/>
          <w:color w:val="000000"/>
        </w:rPr>
        <w:t xml:space="preserve">no later than seven years </w:t>
      </w:r>
      <w:r>
        <w:rPr>
          <w:rFonts w:ascii="Cambria" w:eastAsia="Cambria" w:hAnsi="Cambria" w:cs="Cambria"/>
          <w:color w:val="000000"/>
        </w:rPr>
        <w:t xml:space="preserve">after the first registration. The program, too, must be vigilant about the need for students to complete their degrees in seven years or less. Being an ABD (“All But Dissertation”) is not only stressful and frustrating to students, it is also harmful to the program's reputation and accreditation status. Students should be aware that it is absolutely expected that they will have an approved Dissertation Proposal by no later than the end of their fourth year in the program. </w:t>
      </w:r>
      <w:r>
        <w:rPr>
          <w:rFonts w:ascii="Cambria" w:eastAsia="Cambria" w:hAnsi="Cambria" w:cs="Cambria"/>
          <w:color w:val="000000"/>
        </w:rPr>
        <w:br/>
      </w:r>
    </w:p>
    <w:p w14:paraId="0000027A"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Whereas extensions of a student's period of candidacy are granted for good reasons (e.g., health considerations, parenthood), the policy of the Clinical Psychology program is that the Director of Clinical Training, who must approve all such requests, will not grant approval unless the student gives evidence of making tangible, step-by-step progress on the dissertation. That is, each semester (or year, at the latest) students should take the next step toward completing their dissertation, moving from Proposal Hearing to Dissertation Defense.  </w:t>
      </w:r>
      <w:r>
        <w:rPr>
          <w:rFonts w:ascii="Cambria" w:eastAsia="Cambria" w:hAnsi="Cambria" w:cs="Cambria"/>
          <w:color w:val="000000"/>
        </w:rPr>
        <w:br/>
      </w:r>
    </w:p>
    <w:p w14:paraId="0000027B"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More specifically, the program's expectations are as follows: </w:t>
      </w:r>
    </w:p>
    <w:p w14:paraId="0000027C" w14:textId="691D2EAE" w:rsidR="00CD3527" w:rsidRDefault="007F4AED">
      <w:pPr>
        <w:numPr>
          <w:ilvl w:val="0"/>
          <w:numId w:val="92"/>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Proposal Hearing by the beginning of a student's fourth year (if an </w:t>
      </w:r>
      <w:r w:rsidR="00290502">
        <w:rPr>
          <w:rFonts w:ascii="Cambria" w:eastAsia="Cambria" w:hAnsi="Cambria" w:cs="Cambria"/>
          <w:color w:val="000000"/>
        </w:rPr>
        <w:t>i</w:t>
      </w:r>
      <w:r>
        <w:rPr>
          <w:rFonts w:ascii="Cambria" w:eastAsia="Cambria" w:hAnsi="Cambria" w:cs="Cambria"/>
          <w:color w:val="000000"/>
        </w:rPr>
        <w:t xml:space="preserve">nternship in year 5 is desired, then this meeting must occur in time to apply for APPIC internship); </w:t>
      </w:r>
    </w:p>
    <w:p w14:paraId="0000027D" w14:textId="1F94ACB8" w:rsidR="00CD3527" w:rsidRDefault="007F4AED">
      <w:pPr>
        <w:numPr>
          <w:ilvl w:val="0"/>
          <w:numId w:val="92"/>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Advanced Seminar (required</w:t>
      </w:r>
      <w:r w:rsidR="0040275E">
        <w:rPr>
          <w:rFonts w:ascii="Cambria" w:eastAsia="Cambria" w:hAnsi="Cambria" w:cs="Cambria"/>
          <w:color w:val="000000"/>
        </w:rPr>
        <w:t xml:space="preserve"> for traditional dissertation format but optional for 3 paper dissertation format</w:t>
      </w:r>
      <w:r>
        <w:rPr>
          <w:rFonts w:ascii="Cambria" w:eastAsia="Cambria" w:hAnsi="Cambria" w:cs="Cambria"/>
          <w:color w:val="000000"/>
        </w:rPr>
        <w:t xml:space="preserve">) and Dissertation Defense either at the end of this fourth year, during the fifth year, or at the beginning of the sixth year </w:t>
      </w:r>
      <w:r>
        <w:rPr>
          <w:rFonts w:ascii="Cambria" w:eastAsia="Cambria" w:hAnsi="Cambria" w:cs="Cambria"/>
          <w:color w:val="000000"/>
        </w:rPr>
        <w:lastRenderedPageBreak/>
        <w:t>(important to also consider whether you may be on internship in year 5 or 6).</w:t>
      </w:r>
      <w:r>
        <w:rPr>
          <w:rFonts w:ascii="Cambria" w:eastAsia="Cambria" w:hAnsi="Cambria" w:cs="Cambria"/>
          <w:color w:val="000000"/>
        </w:rPr>
        <w:br/>
      </w:r>
    </w:p>
    <w:p w14:paraId="0000027E" w14:textId="571786FA"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Students who have not had a Proposal Hearing by the end of their fourth year </w:t>
      </w:r>
      <w:r w:rsidR="00290502">
        <w:rPr>
          <w:rFonts w:ascii="Cambria" w:eastAsia="Cambria" w:hAnsi="Cambria" w:cs="Cambria"/>
          <w:color w:val="000000"/>
        </w:rPr>
        <w:t xml:space="preserve">may </w:t>
      </w:r>
      <w:r>
        <w:rPr>
          <w:rFonts w:ascii="Cambria" w:eastAsia="Cambria" w:hAnsi="Cambria" w:cs="Cambria"/>
          <w:color w:val="000000"/>
        </w:rPr>
        <w:t xml:space="preserve">be placed on probation; absent emergencies or extreme circumstances (e.g., medical necessity); students who have not had a Proposal Hearing by the end of their fifth year of candidacy </w:t>
      </w:r>
      <w:r w:rsidR="00290502">
        <w:rPr>
          <w:rFonts w:ascii="Cambria" w:eastAsia="Cambria" w:hAnsi="Cambria" w:cs="Cambria"/>
          <w:color w:val="000000"/>
        </w:rPr>
        <w:t xml:space="preserve">may </w:t>
      </w:r>
      <w:r>
        <w:rPr>
          <w:rFonts w:ascii="Cambria" w:eastAsia="Cambria" w:hAnsi="Cambria" w:cs="Cambria"/>
          <w:color w:val="000000"/>
        </w:rPr>
        <w:t>be withdrawn from the program.</w:t>
      </w:r>
    </w:p>
    <w:p w14:paraId="0000027F" w14:textId="77777777" w:rsidR="00CD3527" w:rsidRDefault="00CD3527">
      <w:pPr>
        <w:pBdr>
          <w:top w:val="nil"/>
          <w:left w:val="nil"/>
          <w:bottom w:val="nil"/>
          <w:right w:val="nil"/>
          <w:between w:val="nil"/>
        </w:pBdr>
        <w:rPr>
          <w:rFonts w:ascii="Cambria" w:eastAsia="Cambria" w:hAnsi="Cambria" w:cs="Cambria"/>
          <w:color w:val="000000"/>
        </w:rPr>
      </w:pPr>
    </w:p>
    <w:p w14:paraId="00000280"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The procedures for requesting an extension of one's candidacy are:</w:t>
      </w:r>
    </w:p>
    <w:p w14:paraId="00000281" w14:textId="77777777" w:rsidR="00CD3527" w:rsidRDefault="007F4AED">
      <w:pPr>
        <w:numPr>
          <w:ilvl w:val="0"/>
          <w:numId w:val="80"/>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After conferring with his or her advisor, the student shall email the DCT, including precise information on the following three points:</w:t>
      </w:r>
    </w:p>
    <w:p w14:paraId="00000282" w14:textId="77777777" w:rsidR="00CD3527" w:rsidRDefault="007F4AED">
      <w:pPr>
        <w:numPr>
          <w:ilvl w:val="1"/>
          <w:numId w:val="80"/>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The reasons for not finishing within the original time period;</w:t>
      </w:r>
    </w:p>
    <w:p w14:paraId="00000283" w14:textId="77777777" w:rsidR="00CD3527" w:rsidRDefault="007F4AED">
      <w:pPr>
        <w:numPr>
          <w:ilvl w:val="1"/>
          <w:numId w:val="80"/>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The progress made to date in meeting requirements;</w:t>
      </w:r>
    </w:p>
    <w:p w14:paraId="00000284" w14:textId="77777777" w:rsidR="00CD3527" w:rsidRDefault="007F4AED">
      <w:pPr>
        <w:numPr>
          <w:ilvl w:val="1"/>
          <w:numId w:val="80"/>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A schedule of dates and steps for completing requirements.</w:t>
      </w:r>
    </w:p>
    <w:p w14:paraId="00000285" w14:textId="77777777" w:rsidR="00CD3527" w:rsidRDefault="00CD3527">
      <w:pPr>
        <w:pBdr>
          <w:top w:val="nil"/>
          <w:left w:val="nil"/>
          <w:bottom w:val="nil"/>
          <w:right w:val="nil"/>
          <w:between w:val="nil"/>
        </w:pBdr>
        <w:ind w:left="720"/>
        <w:rPr>
          <w:rFonts w:ascii="Cambria" w:eastAsia="Cambria" w:hAnsi="Cambria" w:cs="Cambria"/>
          <w:color w:val="000000"/>
        </w:rPr>
      </w:pPr>
    </w:p>
    <w:p w14:paraId="00000286" w14:textId="77777777" w:rsidR="00CD3527" w:rsidRDefault="007F4AED">
      <w:pPr>
        <w:numPr>
          <w:ilvl w:val="0"/>
          <w:numId w:val="80"/>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The advisor must write a supporting memorandum to the DCT, attaching a copy of the student's letter. The advisor's letter should include an evaluation of the student's work to date and an appraisal of the student's proposed schedule for completing remaining requirements.</w:t>
      </w:r>
    </w:p>
    <w:p w14:paraId="00000287" w14:textId="77777777" w:rsidR="00CD3527" w:rsidRDefault="00CD3527">
      <w:pPr>
        <w:pBdr>
          <w:top w:val="nil"/>
          <w:left w:val="nil"/>
          <w:bottom w:val="nil"/>
          <w:right w:val="nil"/>
          <w:between w:val="nil"/>
        </w:pBdr>
        <w:ind w:left="720"/>
        <w:rPr>
          <w:rFonts w:ascii="Cambria" w:eastAsia="Cambria" w:hAnsi="Cambria" w:cs="Cambria"/>
          <w:color w:val="000000"/>
        </w:rPr>
      </w:pPr>
    </w:p>
    <w:p w14:paraId="00000288"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The DCT, in conjunction with program faculty, will make a determination and, if positive, will submit the requisite paperwork to the Office of Doctoral Studies. </w:t>
      </w:r>
    </w:p>
    <w:p w14:paraId="00000289" w14:textId="77777777" w:rsidR="00CD3527" w:rsidRDefault="007F4AED">
      <w:pPr>
        <w:pBdr>
          <w:top w:val="nil"/>
          <w:left w:val="nil"/>
          <w:bottom w:val="nil"/>
          <w:right w:val="nil"/>
          <w:between w:val="nil"/>
        </w:pBdr>
        <w:rPr>
          <w:rFonts w:ascii="Cambria" w:eastAsia="Cambria" w:hAnsi="Cambria" w:cs="Cambria"/>
          <w:color w:val="000000"/>
          <w:sz w:val="32"/>
          <w:szCs w:val="32"/>
        </w:rPr>
      </w:pPr>
      <w:r>
        <w:br w:type="page"/>
      </w:r>
      <w:r>
        <w:rPr>
          <w:rFonts w:ascii="Cambria" w:eastAsia="Cambria" w:hAnsi="Cambria" w:cs="Cambria"/>
          <w:b/>
          <w:color w:val="000000"/>
          <w:sz w:val="32"/>
          <w:szCs w:val="32"/>
        </w:rPr>
        <w:lastRenderedPageBreak/>
        <w:t>Clinical Rotations</w:t>
      </w:r>
    </w:p>
    <w:p w14:paraId="0000028A" w14:textId="3CA1FD03" w:rsidR="00CD3527" w:rsidRDefault="007F4AED">
      <w:pPr>
        <w:pStyle w:val="Heading1"/>
        <w:rPr>
          <w:b w:val="0"/>
          <w:sz w:val="24"/>
          <w:szCs w:val="24"/>
        </w:rPr>
      </w:pPr>
      <w:bookmarkStart w:id="32" w:name="_heading=h.2p2csry" w:colFirst="0" w:colLast="0"/>
      <w:bookmarkEnd w:id="32"/>
      <w:r>
        <w:rPr>
          <w:b w:val="0"/>
          <w:sz w:val="24"/>
          <w:szCs w:val="24"/>
        </w:rPr>
        <w:t>The core clinical training in our program is organized around a series of rotations through our training clinic, the Dean-Hope Center</w:t>
      </w:r>
      <w:r w:rsidR="00D814BC">
        <w:rPr>
          <w:b w:val="0"/>
          <w:sz w:val="24"/>
          <w:szCs w:val="24"/>
        </w:rPr>
        <w:t xml:space="preserve">. </w:t>
      </w:r>
      <w:r>
        <w:rPr>
          <w:b w:val="0"/>
          <w:sz w:val="24"/>
          <w:szCs w:val="24"/>
        </w:rPr>
        <w:t xml:space="preserve">Outside the program, externship opportunities are also available in later years (see below). Each rotation (practicum experience) includes assigned cases, individual supervisors, and a two-semester course sequence that typically involves a combination of didactics and group supervision. </w:t>
      </w:r>
    </w:p>
    <w:p w14:paraId="0000028B" w14:textId="2D742DEA" w:rsidR="00CD3527" w:rsidRDefault="007F4AED">
      <w:pPr>
        <w:pStyle w:val="Heading1"/>
        <w:rPr>
          <w:b w:val="0"/>
          <w:sz w:val="24"/>
          <w:szCs w:val="24"/>
        </w:rPr>
      </w:pPr>
      <w:bookmarkStart w:id="33" w:name="_heading=h.147n2zr" w:colFirst="0" w:colLast="0"/>
      <w:bookmarkEnd w:id="33"/>
      <w:r>
        <w:rPr>
          <w:b w:val="0"/>
          <w:sz w:val="24"/>
          <w:szCs w:val="24"/>
        </w:rPr>
        <w:t xml:space="preserve">Following their first year required courses in clinical assessment and intake, all students in their second year take two full-year (two semesters plus summer) practica:  Foundations of psychotherapy, which includes formative training in therapeutic work with a psychodynamically-oriented focus (CCPX 6335, Practicum in Clinical Intervention) and another in a chosen rotation (options are described below). Third year students choose two rotations. Students are </w:t>
      </w:r>
      <w:r w:rsidR="008926DF">
        <w:rPr>
          <w:b w:val="0"/>
          <w:sz w:val="24"/>
          <w:szCs w:val="24"/>
        </w:rPr>
        <w:t xml:space="preserve">typically </w:t>
      </w:r>
      <w:r>
        <w:rPr>
          <w:b w:val="0"/>
          <w:sz w:val="24"/>
          <w:szCs w:val="24"/>
        </w:rPr>
        <w:t xml:space="preserve">expected to see two cases at one time on each rotation per year.  </w:t>
      </w:r>
    </w:p>
    <w:p w14:paraId="0000028C" w14:textId="1D075871" w:rsidR="00CD3527" w:rsidRDefault="007F4AED">
      <w:pPr>
        <w:pStyle w:val="Heading1"/>
        <w:rPr>
          <w:b w:val="0"/>
          <w:sz w:val="24"/>
          <w:szCs w:val="24"/>
        </w:rPr>
      </w:pPr>
      <w:bookmarkStart w:id="34" w:name="_heading=h.3o7alnk" w:colFirst="0" w:colLast="0"/>
      <w:bookmarkEnd w:id="34"/>
      <w:r>
        <w:rPr>
          <w:b w:val="0"/>
          <w:sz w:val="24"/>
          <w:szCs w:val="24"/>
        </w:rPr>
        <w:t xml:space="preserve">At the end of the spring semester of their first year, students will be asked to select their rotation (in addition to the required CCPX 6335 course noted above) for their second year. They will submit their request—providing ranked choices––to the Director of the Dean-Hope Center (Dr. Rosa), who will then assign individual supervisors based on these requests. Most students will receive their first or second choices for rotations, but this depends, of course, on the number of students requesting a specific rotation (i.e., most rotations have an upper limit to the number of students that can be accommodated within a given year). Conversely, some rotations may not be offered in a given year if there is insufficient enrollment. The same process will occur at the end of the second year for the third year. (Students see clients through these rotations throughout summer sessions A and B, both at the end of their first year and second year in the program). Overall, </w:t>
      </w:r>
      <w:r w:rsidR="00D814BC">
        <w:rPr>
          <w:b w:val="0"/>
          <w:sz w:val="24"/>
          <w:szCs w:val="24"/>
        </w:rPr>
        <w:t xml:space="preserve">students </w:t>
      </w:r>
      <w:r>
        <w:rPr>
          <w:b w:val="0"/>
          <w:sz w:val="24"/>
          <w:szCs w:val="24"/>
        </w:rPr>
        <w:t xml:space="preserve">may be expected to carry at least four clients (and up to six) and three supervisors (see below for discussion of seeing cases at DHCEPS outside of rotations).  </w:t>
      </w:r>
    </w:p>
    <w:p w14:paraId="0000028D" w14:textId="77777777" w:rsidR="00CD3527" w:rsidRDefault="007F4AED">
      <w:pPr>
        <w:pStyle w:val="Heading1"/>
        <w:rPr>
          <w:b w:val="0"/>
          <w:sz w:val="24"/>
          <w:szCs w:val="24"/>
        </w:rPr>
      </w:pPr>
      <w:bookmarkStart w:id="35" w:name="_heading=h.23ckvvd" w:colFirst="0" w:colLast="0"/>
      <w:bookmarkEnd w:id="35"/>
      <w:r>
        <w:rPr>
          <w:sz w:val="24"/>
          <w:szCs w:val="24"/>
        </w:rPr>
        <w:t>Description of Clinical Rotations</w:t>
      </w:r>
      <w:r>
        <w:rPr>
          <w:b w:val="0"/>
          <w:sz w:val="24"/>
          <w:szCs w:val="24"/>
        </w:rPr>
        <w:t>:</w:t>
      </w:r>
    </w:p>
    <w:p w14:paraId="0000028E" w14:textId="77777777" w:rsidR="00CD3527" w:rsidRDefault="00CD3527">
      <w:pPr>
        <w:pBdr>
          <w:top w:val="nil"/>
          <w:left w:val="nil"/>
          <w:bottom w:val="nil"/>
          <w:right w:val="nil"/>
          <w:between w:val="nil"/>
        </w:pBdr>
        <w:rPr>
          <w:b/>
          <w:color w:val="000000"/>
        </w:rPr>
      </w:pPr>
    </w:p>
    <w:p w14:paraId="0000028F" w14:textId="77777777" w:rsidR="00CD3527" w:rsidRDefault="007F4AED">
      <w:pPr>
        <w:pStyle w:val="Heading1"/>
        <w:spacing w:before="0" w:after="0"/>
        <w:rPr>
          <w:b w:val="0"/>
          <w:sz w:val="24"/>
          <w:szCs w:val="24"/>
          <w:u w:val="single"/>
        </w:rPr>
      </w:pPr>
      <w:bookmarkStart w:id="36" w:name="_heading=h.ihv636" w:colFirst="0" w:colLast="0"/>
      <w:bookmarkEnd w:id="36"/>
      <w:r>
        <w:rPr>
          <w:b w:val="0"/>
          <w:sz w:val="24"/>
          <w:szCs w:val="24"/>
          <w:u w:val="single"/>
        </w:rPr>
        <w:t xml:space="preserve">Practicum in Clinical Intervention (Foundations) </w:t>
      </w:r>
    </w:p>
    <w:p w14:paraId="00000290" w14:textId="3D6D1385" w:rsidR="00CD3527" w:rsidRDefault="007F4AED">
      <w:pPr>
        <w:pStyle w:val="Heading1"/>
        <w:spacing w:before="0" w:after="0"/>
        <w:rPr>
          <w:b w:val="0"/>
          <w:sz w:val="24"/>
          <w:szCs w:val="24"/>
        </w:rPr>
      </w:pPr>
      <w:bookmarkStart w:id="37" w:name="_heading=h.32hioqz" w:colFirst="0" w:colLast="0"/>
      <w:bookmarkEnd w:id="37"/>
      <w:r>
        <w:rPr>
          <w:b w:val="0"/>
          <w:sz w:val="24"/>
          <w:szCs w:val="24"/>
        </w:rPr>
        <w:t>CCPX 6335, Sect 1 (Dr. Farber</w:t>
      </w:r>
      <w:r w:rsidR="00D814BC">
        <w:rPr>
          <w:b w:val="0"/>
          <w:sz w:val="24"/>
          <w:szCs w:val="24"/>
        </w:rPr>
        <w:t>)</w:t>
      </w:r>
      <w:r>
        <w:rPr>
          <w:b w:val="0"/>
          <w:sz w:val="24"/>
          <w:szCs w:val="24"/>
        </w:rPr>
        <w:t>. Required in second year (3 points each semester, plus 0-1 points during summer semesters). Focus (through articles, books, videos, and student presentations) is on relationally</w:t>
      </w:r>
      <w:r w:rsidR="008926DF">
        <w:rPr>
          <w:b w:val="0"/>
          <w:sz w:val="24"/>
          <w:szCs w:val="24"/>
        </w:rPr>
        <w:t>-</w:t>
      </w:r>
      <w:r>
        <w:rPr>
          <w:b w:val="0"/>
          <w:sz w:val="24"/>
          <w:szCs w:val="24"/>
        </w:rPr>
        <w:t xml:space="preserve">oriented psychodynamic psychotherapy. </w:t>
      </w:r>
    </w:p>
    <w:p w14:paraId="00000291" w14:textId="77777777" w:rsidR="00CD3527" w:rsidRDefault="00CD3527">
      <w:pPr>
        <w:pBdr>
          <w:top w:val="nil"/>
          <w:left w:val="nil"/>
          <w:bottom w:val="nil"/>
          <w:right w:val="nil"/>
          <w:between w:val="nil"/>
        </w:pBdr>
        <w:rPr>
          <w:rFonts w:ascii="Cambria" w:eastAsia="Cambria" w:hAnsi="Cambria" w:cs="Cambria"/>
          <w:color w:val="000000"/>
        </w:rPr>
      </w:pPr>
    </w:p>
    <w:p w14:paraId="00000292"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u w:val="single"/>
        </w:rPr>
        <w:t>CBT/ DBT Psychotherapies</w:t>
      </w:r>
      <w:r>
        <w:rPr>
          <w:rFonts w:ascii="Cambria" w:eastAsia="Cambria" w:hAnsi="Cambria" w:cs="Cambria"/>
          <w:color w:val="000000"/>
        </w:rPr>
        <w:t xml:space="preserve">: </w:t>
      </w:r>
    </w:p>
    <w:p w14:paraId="00000293"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CCPX 6336, Sect. 4 (Dr. Woodruff) Fall Semester; focus on CBT and on contemporary integrative approaches. </w:t>
      </w:r>
    </w:p>
    <w:p w14:paraId="00000294"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6336, Sect. 4 (Dr. Reynolds) Spring Semester: focus on DBT.</w:t>
      </w:r>
    </w:p>
    <w:p w14:paraId="00000295" w14:textId="77777777" w:rsidR="00CD3527" w:rsidRDefault="00CD3527">
      <w:pPr>
        <w:pBdr>
          <w:top w:val="nil"/>
          <w:left w:val="nil"/>
          <w:bottom w:val="nil"/>
          <w:right w:val="nil"/>
          <w:between w:val="nil"/>
        </w:pBdr>
        <w:rPr>
          <w:rFonts w:ascii="Cambria" w:eastAsia="Cambria" w:hAnsi="Cambria" w:cs="Cambria"/>
          <w:color w:val="000000"/>
        </w:rPr>
      </w:pPr>
    </w:p>
    <w:p w14:paraId="00000296" w14:textId="1C92B35B"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u w:val="single"/>
        </w:rPr>
        <w:t>Child and Adolescent Psychotherapy</w:t>
      </w:r>
      <w:r>
        <w:rPr>
          <w:rFonts w:ascii="Cambria" w:eastAsia="Cambria" w:hAnsi="Cambria" w:cs="Cambria"/>
          <w:color w:val="000000"/>
        </w:rPr>
        <w:t>:</w:t>
      </w:r>
    </w:p>
    <w:p w14:paraId="00000297"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5531: Psychotherapy with Children (Fall Semester)</w:t>
      </w:r>
    </w:p>
    <w:p w14:paraId="00000298"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lastRenderedPageBreak/>
        <w:t xml:space="preserve">CCPX 5334: Practicum: CBT for Children and Adolescents (Spring semester) </w:t>
      </w:r>
    </w:p>
    <w:p w14:paraId="00000299" w14:textId="42F75BF6"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Provides an understanding of the foundations of child and adolescent work.  It integrates theory and technique through discussion of readings, especially as they pertain to students’ cases, and through group supervision.  Discussions will address a particular topic integral to child/adolescent therapy using a multifaceted developmental lens that integrates developmental, biological, neuropsychological, family, and cultural perspectives. Students will also learn the fundamentals of CBT and IPT as these evidence-based modalities pertain to child therapy. They will also be introduced to the fundamentals of consultative work with children, parents, and teachers in underserved schools and communities.</w:t>
      </w:r>
    </w:p>
    <w:p w14:paraId="0000029A" w14:textId="77777777" w:rsidR="00CD3527" w:rsidRDefault="00CD3527">
      <w:pPr>
        <w:pBdr>
          <w:top w:val="nil"/>
          <w:left w:val="nil"/>
          <w:bottom w:val="nil"/>
          <w:right w:val="nil"/>
          <w:between w:val="nil"/>
        </w:pBdr>
        <w:rPr>
          <w:rFonts w:ascii="Cambria" w:eastAsia="Cambria" w:hAnsi="Cambria" w:cs="Cambria"/>
          <w:color w:val="000000"/>
          <w:u w:val="single"/>
        </w:rPr>
      </w:pPr>
    </w:p>
    <w:p w14:paraId="0000029B"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u w:val="single"/>
        </w:rPr>
        <w:t>Introduction to Neuropsychological Assessment</w:t>
      </w:r>
      <w:r>
        <w:rPr>
          <w:rFonts w:ascii="Cambria" w:eastAsia="Cambria" w:hAnsi="Cambria" w:cs="Cambria"/>
          <w:color w:val="000000"/>
        </w:rPr>
        <w:t xml:space="preserve">: </w:t>
      </w:r>
    </w:p>
    <w:p w14:paraId="0000029C"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6336, Sect. 2 (Dr. Cole). Both semesters.  Focus is on the fundamentals of neuropsychology practice including tests and test administration, functional neuroanatomy, and the basics of various neurological disorders.  The course includes individual supervision of clinical assessment cases, and is designed to foster interest in more advanced neuropsychology training through externship and later internship placements.    </w:t>
      </w:r>
    </w:p>
    <w:p w14:paraId="0000029D" w14:textId="77777777" w:rsidR="00CD3527" w:rsidRDefault="00CD3527">
      <w:pPr>
        <w:pBdr>
          <w:top w:val="nil"/>
          <w:left w:val="nil"/>
          <w:bottom w:val="nil"/>
          <w:right w:val="nil"/>
          <w:between w:val="nil"/>
        </w:pBdr>
        <w:rPr>
          <w:rFonts w:ascii="Cambria" w:eastAsia="Cambria" w:hAnsi="Cambria" w:cs="Cambria"/>
          <w:color w:val="000000"/>
        </w:rPr>
      </w:pPr>
    </w:p>
    <w:p w14:paraId="0000029E" w14:textId="77777777" w:rsidR="00CD3527" w:rsidRDefault="007F4AED">
      <w:pPr>
        <w:pBdr>
          <w:top w:val="nil"/>
          <w:left w:val="nil"/>
          <w:bottom w:val="nil"/>
          <w:right w:val="nil"/>
          <w:between w:val="nil"/>
        </w:pBdr>
        <w:rPr>
          <w:rFonts w:ascii="Cambria" w:eastAsia="Cambria" w:hAnsi="Cambria" w:cs="Cambria"/>
          <w:color w:val="000000"/>
          <w:u w:val="single"/>
        </w:rPr>
      </w:pPr>
      <w:r>
        <w:rPr>
          <w:rFonts w:ascii="Cambria" w:eastAsia="Cambria" w:hAnsi="Cambria" w:cs="Cambria"/>
          <w:color w:val="000000"/>
          <w:u w:val="single"/>
        </w:rPr>
        <w:t xml:space="preserve">Interpersonal Psychotherapy: </w:t>
      </w:r>
    </w:p>
    <w:p w14:paraId="0000029F"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6336, Sect. 8 (Dr. Iselin) Both semesters.</w:t>
      </w:r>
      <w:r>
        <w:rPr>
          <w:rFonts w:ascii="Cambria" w:eastAsia="Cambria" w:hAnsi="Cambria" w:cs="Cambria"/>
          <w:color w:val="000000"/>
          <w:u w:val="single"/>
        </w:rPr>
        <w:t xml:space="preserve"> </w:t>
      </w:r>
      <w:r>
        <w:rPr>
          <w:rFonts w:ascii="Cambria" w:eastAsia="Cambria" w:hAnsi="Cambria" w:cs="Cambria"/>
          <w:color w:val="000000"/>
        </w:rPr>
        <w:t xml:space="preserve">An evidence-based psychotherapy for mood disorders, post-traumatic stress disorder, eating disorders, etc., IPT has been a recommended treatment in a number of national and international guidelines and is being disseminated globally by the World Health Organization (lead author of the manual is Professor Verdeli). The course includes didactics and group supervision of clinic cases. </w:t>
      </w:r>
    </w:p>
    <w:p w14:paraId="000002A0" w14:textId="77777777" w:rsidR="00CD3527" w:rsidRDefault="00CD3527">
      <w:pPr>
        <w:pBdr>
          <w:top w:val="nil"/>
          <w:left w:val="nil"/>
          <w:bottom w:val="nil"/>
          <w:right w:val="nil"/>
          <w:between w:val="nil"/>
        </w:pBdr>
        <w:rPr>
          <w:rFonts w:ascii="Cambria" w:eastAsia="Cambria" w:hAnsi="Cambria" w:cs="Cambria"/>
          <w:color w:val="000000"/>
          <w:u w:val="single"/>
        </w:rPr>
      </w:pPr>
    </w:p>
    <w:p w14:paraId="000002A1" w14:textId="54FC6DB4" w:rsidR="00CD3527" w:rsidRDefault="007F4AED">
      <w:pPr>
        <w:pBdr>
          <w:top w:val="nil"/>
          <w:left w:val="nil"/>
          <w:bottom w:val="nil"/>
          <w:right w:val="nil"/>
          <w:between w:val="nil"/>
        </w:pBdr>
        <w:rPr>
          <w:rFonts w:ascii="Cambria" w:eastAsia="Cambria" w:hAnsi="Cambria" w:cs="Cambria"/>
          <w:color w:val="000000"/>
          <w:u w:val="single"/>
        </w:rPr>
      </w:pPr>
      <w:r>
        <w:rPr>
          <w:rFonts w:ascii="Cambria" w:eastAsia="Cambria" w:hAnsi="Cambria" w:cs="Cambria"/>
          <w:color w:val="000000"/>
          <w:u w:val="single"/>
        </w:rPr>
        <w:t>Emotion Regulation Therapy</w:t>
      </w:r>
      <w:r w:rsidR="0040275E">
        <w:rPr>
          <w:rFonts w:ascii="Cambria" w:eastAsia="Cambria" w:hAnsi="Cambria" w:cs="Cambria"/>
          <w:color w:val="000000"/>
          <w:u w:val="single"/>
        </w:rPr>
        <w:t xml:space="preserve"> (not offered this current 2024-2025 year)</w:t>
      </w:r>
      <w:r>
        <w:rPr>
          <w:rFonts w:ascii="Cambria" w:eastAsia="Cambria" w:hAnsi="Cambria" w:cs="Cambria"/>
          <w:color w:val="000000"/>
          <w:u w:val="single"/>
        </w:rPr>
        <w:t xml:space="preserve"> </w:t>
      </w:r>
    </w:p>
    <w:p w14:paraId="000002A2"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CCPX 6336, Sect. 7 (Dr. Mennin) Both semesters. ERT is a manualized treatment that integrates components of cognitive-behavioral, acceptance, dialectical, mindfulness-based, and experiential, emotion-focused, treatments using a mechanistic framework drawn from basic and translational findings in affect science. The course includes didactics and group supervision of clinic cases. </w:t>
      </w:r>
    </w:p>
    <w:p w14:paraId="000002A3" w14:textId="77777777" w:rsidR="00CD3527" w:rsidRDefault="00CD3527">
      <w:pPr>
        <w:pBdr>
          <w:top w:val="nil"/>
          <w:left w:val="nil"/>
          <w:bottom w:val="nil"/>
          <w:right w:val="nil"/>
          <w:between w:val="nil"/>
        </w:pBdr>
        <w:rPr>
          <w:rFonts w:ascii="Cambria" w:eastAsia="Cambria" w:hAnsi="Cambria" w:cs="Cambria"/>
          <w:color w:val="000000"/>
        </w:rPr>
      </w:pPr>
    </w:p>
    <w:p w14:paraId="000002A4" w14:textId="4D152ECB"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u w:val="single"/>
        </w:rPr>
        <w:t xml:space="preserve">Family </w:t>
      </w:r>
      <w:r w:rsidR="00585C98">
        <w:rPr>
          <w:rFonts w:ascii="Cambria" w:eastAsia="Cambria" w:hAnsi="Cambria" w:cs="Cambria"/>
          <w:color w:val="000000"/>
          <w:u w:val="single"/>
        </w:rPr>
        <w:t>Therapy</w:t>
      </w:r>
      <w:r>
        <w:rPr>
          <w:rFonts w:ascii="Cambria" w:eastAsia="Cambria" w:hAnsi="Cambria" w:cs="Cambria"/>
          <w:color w:val="000000"/>
        </w:rPr>
        <w:t>:</w:t>
      </w:r>
    </w:p>
    <w:p w14:paraId="000002A5" w14:textId="067E5296"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CCPJ 6363: Advanced Family </w:t>
      </w:r>
      <w:r w:rsidR="00585C98">
        <w:rPr>
          <w:rFonts w:ascii="Cambria" w:eastAsia="Cambria" w:hAnsi="Cambria" w:cs="Cambria"/>
          <w:color w:val="000000"/>
        </w:rPr>
        <w:t>Therapy</w:t>
      </w:r>
      <w:r>
        <w:rPr>
          <w:rFonts w:ascii="Cambria" w:eastAsia="Cambria" w:hAnsi="Cambria" w:cs="Cambria"/>
          <w:color w:val="000000"/>
        </w:rPr>
        <w:t xml:space="preserve"> practicum (TBD). Both semesters. Enrollment is limited and priority is given to third-year students. Students interested in this course must email the instructor (TBD) in the spring or summer prior to taking the course, in order to obtain permission. Didactics and live supervision in a team approach setting, following a systemic structural approach. This practicum is unique in that the student will not receive an individual supervisor; rather, the instructor provides supervision in vivo. </w:t>
      </w:r>
    </w:p>
    <w:p w14:paraId="000002A6" w14:textId="77777777" w:rsidR="00CD3527" w:rsidRDefault="00CD3527">
      <w:pPr>
        <w:pBdr>
          <w:top w:val="nil"/>
          <w:left w:val="nil"/>
          <w:bottom w:val="nil"/>
          <w:right w:val="nil"/>
          <w:between w:val="nil"/>
        </w:pBdr>
        <w:rPr>
          <w:rFonts w:ascii="Cambria" w:eastAsia="Cambria" w:hAnsi="Cambria" w:cs="Cambria"/>
          <w:color w:val="000000"/>
        </w:rPr>
      </w:pPr>
    </w:p>
    <w:p w14:paraId="723B2C89" w14:textId="77777777" w:rsidR="00F92967" w:rsidRDefault="00F92967">
      <w:pPr>
        <w:pBdr>
          <w:top w:val="nil"/>
          <w:left w:val="nil"/>
          <w:bottom w:val="nil"/>
          <w:right w:val="nil"/>
          <w:between w:val="nil"/>
        </w:pBdr>
        <w:rPr>
          <w:rFonts w:ascii="Cambria" w:eastAsia="Cambria" w:hAnsi="Cambria" w:cs="Cambria"/>
          <w:b/>
          <w:color w:val="000000"/>
        </w:rPr>
      </w:pPr>
    </w:p>
    <w:p w14:paraId="249824CD" w14:textId="77777777" w:rsidR="00F92967" w:rsidRDefault="00F92967">
      <w:pPr>
        <w:pBdr>
          <w:top w:val="nil"/>
          <w:left w:val="nil"/>
          <w:bottom w:val="nil"/>
          <w:right w:val="nil"/>
          <w:between w:val="nil"/>
        </w:pBdr>
        <w:rPr>
          <w:rFonts w:ascii="Cambria" w:eastAsia="Cambria" w:hAnsi="Cambria" w:cs="Cambria"/>
          <w:b/>
          <w:color w:val="000000"/>
        </w:rPr>
      </w:pPr>
    </w:p>
    <w:p w14:paraId="595F56BA" w14:textId="77777777" w:rsidR="00F92967" w:rsidRDefault="00F92967">
      <w:pPr>
        <w:pBdr>
          <w:top w:val="nil"/>
          <w:left w:val="nil"/>
          <w:bottom w:val="nil"/>
          <w:right w:val="nil"/>
          <w:between w:val="nil"/>
        </w:pBdr>
        <w:rPr>
          <w:rFonts w:ascii="Cambria" w:eastAsia="Cambria" w:hAnsi="Cambria" w:cs="Cambria"/>
          <w:b/>
          <w:color w:val="000000"/>
        </w:rPr>
      </w:pPr>
    </w:p>
    <w:p w14:paraId="000002A7" w14:textId="7BC8973F" w:rsidR="00CD3527" w:rsidRDefault="007F4AED">
      <w:p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lastRenderedPageBreak/>
        <w:t>Seeing Clients at DHCEPS Outside of Rotations:</w:t>
      </w:r>
    </w:p>
    <w:p w14:paraId="000002A8" w14:textId="77777777" w:rsidR="00CD3527" w:rsidRDefault="00CD3527">
      <w:pPr>
        <w:pBdr>
          <w:top w:val="nil"/>
          <w:left w:val="nil"/>
          <w:bottom w:val="nil"/>
          <w:right w:val="nil"/>
          <w:between w:val="nil"/>
        </w:pBdr>
        <w:rPr>
          <w:rFonts w:ascii="Cambria" w:eastAsia="Cambria" w:hAnsi="Cambria" w:cs="Cambria"/>
          <w:b/>
          <w:color w:val="000000"/>
        </w:rPr>
      </w:pPr>
    </w:p>
    <w:p w14:paraId="000002A9" w14:textId="17B92E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If clinical needs persist beyond the end of a rotation, students are expected to continue to see clients who are not in a time-limited therapy until clinical goals have been met.  This applies to any orientation or modality.  Our first priority is to our clients and their ongoing clinical needs.  We have to be responsible for ensuring their continuity of care either with you, with an accepted transfer to another therapist, or </w:t>
      </w:r>
      <w:r w:rsidR="00585C98">
        <w:rPr>
          <w:rFonts w:ascii="Cambria" w:eastAsia="Cambria" w:hAnsi="Cambria" w:cs="Cambria"/>
          <w:color w:val="000000"/>
        </w:rPr>
        <w:t>when an</w:t>
      </w:r>
      <w:r>
        <w:rPr>
          <w:rFonts w:ascii="Cambria" w:eastAsia="Cambria" w:hAnsi="Cambria" w:cs="Cambria"/>
          <w:color w:val="000000"/>
        </w:rPr>
        <w:t xml:space="preserve"> appropriate referral</w:t>
      </w:r>
      <w:r w:rsidR="00585C98">
        <w:rPr>
          <w:rFonts w:ascii="Cambria" w:eastAsia="Cambria" w:hAnsi="Cambria" w:cs="Cambria"/>
          <w:color w:val="000000"/>
        </w:rPr>
        <w:t xml:space="preserve"> might be needed</w:t>
      </w:r>
      <w:r>
        <w:rPr>
          <w:rFonts w:ascii="Cambria" w:eastAsia="Cambria" w:hAnsi="Cambria" w:cs="Cambria"/>
          <w:color w:val="000000"/>
        </w:rPr>
        <w:t>.  If you think that it is clinically appropriate to end with a client when a rotation is ending, you can ask the Director at DHCEPS (Dr. Rosa), your supervisor, and the practicum instructor to review the case and determine agreement as to whether the case can move towards termination or transfer to another student therapist.  For cases that need further work with you or where you desire to continue successful work with a client, you will continue seeing that client with the help of an outside supervisor. In your third or fourth year, in the instances where you are continuing to see a client outside of a rotation, you must still sign up for a course for those cases.  In that case, please sign up for CCPX 6338 Advanced Practicum in Clinical Intervention, with Dr. Rosa, for 0 or more points.  For third and fourth year students who would like to continue to see clients in the time-limited therapy practica (i.e., ERT-6336.07, IPT-6336.08), you will need permission from the instructor and then you will need to sign up for those courses for 0 or more points.  You will then be able to continue to see time limited cases under supervision of those instructors.  You can see up to six cases at one time encompassing all of these clinical experiences.</w:t>
      </w:r>
    </w:p>
    <w:p w14:paraId="000002AA" w14:textId="77777777" w:rsidR="00CD3527" w:rsidRDefault="00CD3527">
      <w:pPr>
        <w:pBdr>
          <w:top w:val="nil"/>
          <w:left w:val="nil"/>
          <w:bottom w:val="nil"/>
          <w:right w:val="nil"/>
          <w:between w:val="nil"/>
        </w:pBdr>
        <w:rPr>
          <w:rFonts w:ascii="Cambria" w:eastAsia="Cambria" w:hAnsi="Cambria" w:cs="Cambria"/>
          <w:color w:val="000000"/>
        </w:rPr>
      </w:pPr>
    </w:p>
    <w:p w14:paraId="000002AB" w14:textId="4BBA2145"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Finally, you will now be required to be enroll in a full year of rotations.  Thus, during the summer, </w:t>
      </w:r>
      <w:r w:rsidR="00CA52E5">
        <w:rPr>
          <w:rFonts w:ascii="Cambria" w:eastAsia="Cambria" w:hAnsi="Cambria" w:cs="Cambria"/>
          <w:color w:val="000000"/>
        </w:rPr>
        <w:t xml:space="preserve">you will need to </w:t>
      </w:r>
      <w:r>
        <w:rPr>
          <w:rFonts w:ascii="Cambria" w:eastAsia="Cambria" w:hAnsi="Cambria" w:cs="Cambria"/>
          <w:color w:val="000000"/>
        </w:rPr>
        <w:t>sign up for rotations you continue to be enrolled in.  You can sign up for 0 or more points when you are continuing to see your cases</w:t>
      </w:r>
      <w:r>
        <w:rPr>
          <w:rFonts w:ascii="Cambria" w:eastAsia="Cambria" w:hAnsi="Cambria" w:cs="Cambria"/>
          <w:b/>
          <w:color w:val="000000"/>
        </w:rPr>
        <w:t xml:space="preserve">.  As a reminder, you must always be signed up for a course if you are seeing clients.  </w:t>
      </w:r>
      <w:r>
        <w:rPr>
          <w:rFonts w:ascii="Cambria" w:eastAsia="Cambria" w:hAnsi="Cambria" w:cs="Cambria"/>
          <w:color w:val="000000"/>
        </w:rPr>
        <w:t xml:space="preserve">This applies to practicum in DHCEPS but also </w:t>
      </w:r>
      <w:r>
        <w:rPr>
          <w:rFonts w:ascii="Cambria" w:eastAsia="Cambria" w:hAnsi="Cambria" w:cs="Cambria"/>
          <w:b/>
          <w:color w:val="000000"/>
          <w:u w:val="single"/>
        </w:rPr>
        <w:t>all</w:t>
      </w:r>
      <w:r>
        <w:rPr>
          <w:rFonts w:ascii="Cambria" w:eastAsia="Cambria" w:hAnsi="Cambria" w:cs="Cambria"/>
          <w:color w:val="000000"/>
        </w:rPr>
        <w:t xml:space="preserve"> externships as discussed below.</w:t>
      </w:r>
    </w:p>
    <w:p w14:paraId="000002AC" w14:textId="77777777" w:rsidR="00CD3527" w:rsidRDefault="00CD3527">
      <w:pPr>
        <w:pBdr>
          <w:top w:val="nil"/>
          <w:left w:val="nil"/>
          <w:bottom w:val="nil"/>
          <w:right w:val="nil"/>
          <w:between w:val="nil"/>
        </w:pBdr>
        <w:rPr>
          <w:rFonts w:ascii="Cambria" w:eastAsia="Cambria" w:hAnsi="Cambria" w:cs="Cambria"/>
          <w:color w:val="000000"/>
        </w:rPr>
      </w:pPr>
    </w:p>
    <w:p w14:paraId="000002AD" w14:textId="77777777" w:rsidR="00CD3527" w:rsidRDefault="007F4AED">
      <w:r>
        <w:br w:type="page"/>
      </w:r>
      <w:r>
        <w:rPr>
          <w:rFonts w:ascii="Cambria" w:eastAsia="Cambria" w:hAnsi="Cambria" w:cs="Cambria"/>
          <w:color w:val="000000"/>
        </w:rPr>
        <w:lastRenderedPageBreak/>
        <w:tab/>
      </w:r>
      <w:r>
        <w:rPr>
          <w:b/>
        </w:rPr>
        <w:t>Points (Credits) in the Program: Assumptions and Models</w:t>
      </w:r>
    </w:p>
    <w:p w14:paraId="000002AE" w14:textId="77777777" w:rsidR="00CD3527" w:rsidRDefault="007F4AED">
      <w:pPr>
        <w:pStyle w:val="Heading2"/>
        <w:rPr>
          <w:sz w:val="24"/>
          <w:szCs w:val="24"/>
        </w:rPr>
      </w:pPr>
      <w:r>
        <w:rPr>
          <w:sz w:val="24"/>
          <w:szCs w:val="24"/>
        </w:rPr>
        <w:t xml:space="preserve">As noted earlier, students must take 95 points (credits) for our Ph.D. program in clinical psychology. </w:t>
      </w:r>
    </w:p>
    <w:p w14:paraId="000002AF" w14:textId="77777777" w:rsidR="00CD3527" w:rsidRDefault="00CD3527">
      <w:pPr>
        <w:pBdr>
          <w:top w:val="nil"/>
          <w:left w:val="nil"/>
          <w:bottom w:val="nil"/>
          <w:right w:val="nil"/>
          <w:between w:val="nil"/>
        </w:pBdr>
        <w:rPr>
          <w:rFonts w:ascii="Cambria" w:eastAsia="Cambria" w:hAnsi="Cambria" w:cs="Cambria"/>
          <w:color w:val="000000"/>
        </w:rPr>
      </w:pPr>
    </w:p>
    <w:p w14:paraId="000002B0"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Adhering to the requirements in the following pages of this Handbook would result in the following number of points taken given the following different assumptions:</w:t>
      </w:r>
    </w:p>
    <w:p w14:paraId="000002B1" w14:textId="77777777" w:rsidR="00CD3527" w:rsidRDefault="00CD3527">
      <w:pPr>
        <w:pBdr>
          <w:top w:val="nil"/>
          <w:left w:val="nil"/>
          <w:bottom w:val="nil"/>
          <w:right w:val="nil"/>
          <w:between w:val="nil"/>
        </w:pBdr>
        <w:rPr>
          <w:rFonts w:ascii="Cambria" w:eastAsia="Cambria" w:hAnsi="Cambria" w:cs="Cambria"/>
          <w:color w:val="000000"/>
        </w:rPr>
      </w:pPr>
    </w:p>
    <w:p w14:paraId="000002B2" w14:textId="77777777" w:rsidR="00CD3527" w:rsidRDefault="007F4AED">
      <w:pPr>
        <w:numPr>
          <w:ilvl w:val="0"/>
          <w:numId w:val="20"/>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Assuming 1 credit of research courses (independent study or research apprenticeship/ lab course) per semester over each of 3-4 years, and assuming the need to take only two stats classes, and assuming the election of Externship for 0 credits, would yield a total of 84 points: 31 in the first year, 29 in the second year (including summer), and 24 in third year (including summer). This option leaves open 11 points of elective credits.</w:t>
      </w:r>
    </w:p>
    <w:p w14:paraId="000002B3" w14:textId="77777777" w:rsidR="00CD3527" w:rsidRDefault="00CD3527">
      <w:pPr>
        <w:pBdr>
          <w:top w:val="nil"/>
          <w:left w:val="nil"/>
          <w:bottom w:val="nil"/>
          <w:right w:val="nil"/>
          <w:between w:val="nil"/>
        </w:pBdr>
        <w:ind w:hanging="720"/>
        <w:rPr>
          <w:rFonts w:ascii="Cambria" w:eastAsia="Cambria" w:hAnsi="Cambria" w:cs="Cambria"/>
          <w:color w:val="000000"/>
        </w:rPr>
      </w:pPr>
    </w:p>
    <w:p w14:paraId="000002B4" w14:textId="77777777" w:rsidR="00CD3527" w:rsidRDefault="007F4AED">
      <w:pPr>
        <w:numPr>
          <w:ilvl w:val="0"/>
          <w:numId w:val="20"/>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Assuming the same as above (“A”), but now with the addition of a third stats course (i.e., beginning with HUDM 4122:  Probability &amp; Statistical Inference) yields a total of 87 credits. This option leaves open 8 points of elective credits. </w:t>
      </w:r>
    </w:p>
    <w:p w14:paraId="000002B5" w14:textId="77777777" w:rsidR="00CD3527" w:rsidRDefault="00CD3527">
      <w:pPr>
        <w:pBdr>
          <w:top w:val="nil"/>
          <w:left w:val="nil"/>
          <w:bottom w:val="nil"/>
          <w:right w:val="nil"/>
          <w:between w:val="nil"/>
        </w:pBdr>
        <w:ind w:left="720" w:hanging="720"/>
        <w:rPr>
          <w:rFonts w:ascii="Cambria" w:eastAsia="Cambria" w:hAnsi="Cambria" w:cs="Cambria"/>
          <w:color w:val="000000"/>
        </w:rPr>
      </w:pPr>
    </w:p>
    <w:p w14:paraId="000002B6" w14:textId="77777777" w:rsidR="00CD3527" w:rsidRDefault="007F4AED">
      <w:pPr>
        <w:numPr>
          <w:ilvl w:val="0"/>
          <w:numId w:val="20"/>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Assuming the same as above (“B”) but now with the addition of the fourth-year practicum at one point each semester yields a total of 89 credits. This option leaves open 6 points of elective credits. Taking externship for 1-point results in 90 credits, leaving open 5 points of elective credits.</w:t>
      </w:r>
    </w:p>
    <w:p w14:paraId="000002B7" w14:textId="77777777" w:rsidR="00CD3527" w:rsidRDefault="00CD3527">
      <w:pPr>
        <w:pBdr>
          <w:top w:val="nil"/>
          <w:left w:val="nil"/>
          <w:bottom w:val="nil"/>
          <w:right w:val="nil"/>
          <w:between w:val="nil"/>
        </w:pBdr>
        <w:rPr>
          <w:rFonts w:ascii="Cambria" w:eastAsia="Cambria" w:hAnsi="Cambria" w:cs="Cambria"/>
          <w:color w:val="000000"/>
        </w:rPr>
      </w:pPr>
    </w:p>
    <w:p w14:paraId="000002B8"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Clearly, there are other combinations that can be derived.  These numbers change if a student has come into the program with some credits that have been transferred due to previous graduate work in the field. </w:t>
      </w:r>
    </w:p>
    <w:p w14:paraId="000002B9" w14:textId="77777777" w:rsidR="00CD3527" w:rsidRDefault="00CD3527">
      <w:pPr>
        <w:pBdr>
          <w:top w:val="nil"/>
          <w:left w:val="nil"/>
          <w:bottom w:val="nil"/>
          <w:right w:val="nil"/>
          <w:between w:val="nil"/>
        </w:pBdr>
        <w:rPr>
          <w:rFonts w:ascii="Cambria" w:eastAsia="Cambria" w:hAnsi="Cambria" w:cs="Cambria"/>
          <w:color w:val="000000"/>
        </w:rPr>
      </w:pPr>
    </w:p>
    <w:p w14:paraId="000002BA"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u w:val="single"/>
        </w:rPr>
        <w:t>Most importantly</w:t>
      </w:r>
      <w:r>
        <w:rPr>
          <w:rFonts w:ascii="Cambria" w:eastAsia="Cambria" w:hAnsi="Cambria" w:cs="Cambria"/>
          <w:color w:val="000000"/>
        </w:rPr>
        <w:t xml:space="preserve">: Discussing these options—and variations, especially in number of credits taken for research (independent study/lab course)—should be done early and often with your advisor.  </w:t>
      </w:r>
    </w:p>
    <w:p w14:paraId="000002BB" w14:textId="77777777" w:rsidR="00CD3527" w:rsidRDefault="00CD3527">
      <w:pPr>
        <w:pBdr>
          <w:top w:val="nil"/>
          <w:left w:val="nil"/>
          <w:bottom w:val="nil"/>
          <w:right w:val="nil"/>
          <w:between w:val="nil"/>
        </w:pBdr>
        <w:rPr>
          <w:rFonts w:ascii="Cambria" w:eastAsia="Cambria" w:hAnsi="Cambria" w:cs="Cambria"/>
          <w:color w:val="000000"/>
        </w:rPr>
      </w:pPr>
    </w:p>
    <w:p w14:paraId="000002BC" w14:textId="77777777" w:rsidR="00CD3527" w:rsidRDefault="00CD3527">
      <w:pPr>
        <w:pBdr>
          <w:top w:val="nil"/>
          <w:left w:val="nil"/>
          <w:bottom w:val="nil"/>
          <w:right w:val="nil"/>
          <w:between w:val="nil"/>
        </w:pBdr>
        <w:rPr>
          <w:rFonts w:ascii="Cambria" w:eastAsia="Cambria" w:hAnsi="Cambria" w:cs="Cambria"/>
          <w:color w:val="000000"/>
        </w:rPr>
      </w:pPr>
    </w:p>
    <w:p w14:paraId="000002BD" w14:textId="77777777" w:rsidR="00CD3527" w:rsidRDefault="00CD3527">
      <w:pPr>
        <w:pBdr>
          <w:top w:val="nil"/>
          <w:left w:val="nil"/>
          <w:bottom w:val="nil"/>
          <w:right w:val="nil"/>
          <w:between w:val="nil"/>
        </w:pBdr>
        <w:rPr>
          <w:rFonts w:ascii="Cambria" w:eastAsia="Cambria" w:hAnsi="Cambria" w:cs="Cambria"/>
          <w:color w:val="000000"/>
        </w:rPr>
      </w:pPr>
    </w:p>
    <w:p w14:paraId="000002BE" w14:textId="77777777" w:rsidR="00CD3527" w:rsidRDefault="00CD3527">
      <w:pPr>
        <w:pBdr>
          <w:top w:val="nil"/>
          <w:left w:val="nil"/>
          <w:bottom w:val="nil"/>
          <w:right w:val="nil"/>
          <w:between w:val="nil"/>
        </w:pBdr>
        <w:rPr>
          <w:rFonts w:ascii="Cambria" w:eastAsia="Cambria" w:hAnsi="Cambria" w:cs="Cambria"/>
          <w:color w:val="000000"/>
        </w:rPr>
      </w:pPr>
    </w:p>
    <w:p w14:paraId="000002BF" w14:textId="77777777" w:rsidR="00CD3527" w:rsidRDefault="00CD3527">
      <w:pPr>
        <w:pBdr>
          <w:top w:val="nil"/>
          <w:left w:val="nil"/>
          <w:bottom w:val="nil"/>
          <w:right w:val="nil"/>
          <w:between w:val="nil"/>
        </w:pBdr>
        <w:rPr>
          <w:rFonts w:ascii="Cambria" w:eastAsia="Cambria" w:hAnsi="Cambria" w:cs="Cambria"/>
          <w:color w:val="000000"/>
        </w:rPr>
      </w:pPr>
    </w:p>
    <w:p w14:paraId="000002C0" w14:textId="77777777" w:rsidR="00CD3527" w:rsidRDefault="00CD3527">
      <w:pPr>
        <w:pBdr>
          <w:top w:val="nil"/>
          <w:left w:val="nil"/>
          <w:bottom w:val="nil"/>
          <w:right w:val="nil"/>
          <w:between w:val="nil"/>
        </w:pBdr>
        <w:rPr>
          <w:rFonts w:ascii="Cambria" w:eastAsia="Cambria" w:hAnsi="Cambria" w:cs="Cambria"/>
          <w:color w:val="000000"/>
        </w:rPr>
      </w:pPr>
    </w:p>
    <w:p w14:paraId="000002C1" w14:textId="77777777" w:rsidR="00CD3527" w:rsidRDefault="00CD3527">
      <w:pPr>
        <w:pBdr>
          <w:top w:val="nil"/>
          <w:left w:val="nil"/>
          <w:bottom w:val="nil"/>
          <w:right w:val="nil"/>
          <w:between w:val="nil"/>
        </w:pBdr>
        <w:rPr>
          <w:rFonts w:ascii="Cambria" w:eastAsia="Cambria" w:hAnsi="Cambria" w:cs="Cambria"/>
          <w:color w:val="000000"/>
        </w:rPr>
      </w:pPr>
    </w:p>
    <w:p w14:paraId="000002C2" w14:textId="77777777" w:rsidR="00CD3527" w:rsidRDefault="00CD3527">
      <w:pPr>
        <w:pBdr>
          <w:top w:val="nil"/>
          <w:left w:val="nil"/>
          <w:bottom w:val="nil"/>
          <w:right w:val="nil"/>
          <w:between w:val="nil"/>
        </w:pBdr>
        <w:rPr>
          <w:rFonts w:ascii="Cambria" w:eastAsia="Cambria" w:hAnsi="Cambria" w:cs="Cambria"/>
          <w:color w:val="000000"/>
        </w:rPr>
      </w:pPr>
    </w:p>
    <w:p w14:paraId="000002C3" w14:textId="77777777" w:rsidR="00CD3527" w:rsidRDefault="00CD3527">
      <w:pPr>
        <w:pBdr>
          <w:top w:val="nil"/>
          <w:left w:val="nil"/>
          <w:bottom w:val="nil"/>
          <w:right w:val="nil"/>
          <w:between w:val="nil"/>
        </w:pBdr>
        <w:rPr>
          <w:rFonts w:ascii="Cambria" w:eastAsia="Cambria" w:hAnsi="Cambria" w:cs="Cambria"/>
          <w:color w:val="000000"/>
        </w:rPr>
      </w:pPr>
    </w:p>
    <w:p w14:paraId="000002C4" w14:textId="77777777" w:rsidR="00CD3527" w:rsidRDefault="00CD3527">
      <w:pPr>
        <w:pBdr>
          <w:top w:val="nil"/>
          <w:left w:val="nil"/>
          <w:bottom w:val="nil"/>
          <w:right w:val="nil"/>
          <w:between w:val="nil"/>
        </w:pBdr>
        <w:rPr>
          <w:rFonts w:ascii="Cambria" w:eastAsia="Cambria" w:hAnsi="Cambria" w:cs="Cambria"/>
          <w:color w:val="000000"/>
        </w:rPr>
      </w:pPr>
    </w:p>
    <w:p w14:paraId="000002C5" w14:textId="77777777" w:rsidR="00CD3527" w:rsidRDefault="007F4AED">
      <w:pPr>
        <w:pStyle w:val="Heading1"/>
      </w:pPr>
      <w:bookmarkStart w:id="38" w:name="_heading=h.1hmsyys" w:colFirst="0" w:colLast="0"/>
      <w:bookmarkEnd w:id="38"/>
      <w:r>
        <w:lastRenderedPageBreak/>
        <w:t xml:space="preserve">Clinical Psychology Program Coursework Sequence (Required and Suggested Elective Courses): </w:t>
      </w:r>
    </w:p>
    <w:p w14:paraId="000002C6" w14:textId="652E0D11" w:rsidR="00CD3527" w:rsidRDefault="007F4AED">
      <w:pPr>
        <w:pStyle w:val="Heading1"/>
      </w:pPr>
      <w:r>
        <w:t>202</w:t>
      </w:r>
      <w:r w:rsidR="004E14DC">
        <w:t>4</w:t>
      </w:r>
      <w:r>
        <w:t>-202</w:t>
      </w:r>
      <w:r w:rsidR="004E14DC">
        <w:t>5</w:t>
      </w:r>
    </w:p>
    <w:p w14:paraId="000002C7" w14:textId="77777777" w:rsidR="00CD3527" w:rsidRDefault="007F4AED">
      <w:pPr>
        <w:pStyle w:val="Heading2"/>
      </w:pPr>
      <w:bookmarkStart w:id="39" w:name="_heading=h.41mghml" w:colFirst="0" w:colLast="0"/>
      <w:bookmarkEnd w:id="39"/>
      <w:r>
        <w:t>First Year</w:t>
      </w:r>
    </w:p>
    <w:p w14:paraId="000002C8" w14:textId="77777777" w:rsidR="00CD3527" w:rsidRDefault="007F4AED">
      <w:pPr>
        <w:pStyle w:val="Heading3"/>
      </w:pPr>
      <w:bookmarkStart w:id="40" w:name="_heading=h.2grqrue" w:colFirst="0" w:colLast="0"/>
      <w:bookmarkEnd w:id="40"/>
      <w:r>
        <w:t>Fall Semester</w:t>
      </w:r>
    </w:p>
    <w:tbl>
      <w:tblPr>
        <w:tblStyle w:val="a0"/>
        <w:tblW w:w="90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901"/>
        <w:gridCol w:w="1440"/>
        <w:gridCol w:w="2070"/>
        <w:gridCol w:w="648"/>
      </w:tblGrid>
      <w:tr w:rsidR="00CD3527" w14:paraId="7092A2E9" w14:textId="77777777">
        <w:trPr>
          <w:trHeight w:val="540"/>
        </w:trPr>
        <w:tc>
          <w:tcPr>
            <w:tcW w:w="4901" w:type="dxa"/>
            <w:vAlign w:val="center"/>
          </w:tcPr>
          <w:p w14:paraId="000002C9" w14:textId="77777777" w:rsidR="00CD3527" w:rsidRDefault="007F4AED">
            <w:pPr>
              <w:pBdr>
                <w:top w:val="nil"/>
                <w:left w:val="nil"/>
                <w:bottom w:val="nil"/>
                <w:right w:val="nil"/>
                <w:between w:val="nil"/>
              </w:pBdr>
              <w:rPr>
                <w:rFonts w:ascii="Cambria" w:eastAsia="Cambria" w:hAnsi="Cambria" w:cs="Cambria"/>
                <w:color w:val="000000"/>
              </w:rPr>
            </w:pPr>
            <w:bookmarkStart w:id="41" w:name="_heading=h.vx1227" w:colFirst="0" w:colLast="0"/>
            <w:bookmarkEnd w:id="41"/>
            <w:r>
              <w:rPr>
                <w:rFonts w:ascii="Cambria" w:eastAsia="Cambria" w:hAnsi="Cambria" w:cs="Cambria"/>
                <w:color w:val="000000"/>
              </w:rPr>
              <w:t>CCPX 5330 Principles &amp; Techniques of Clinical Assessment</w:t>
            </w:r>
          </w:p>
        </w:tc>
        <w:tc>
          <w:tcPr>
            <w:tcW w:w="1440" w:type="dxa"/>
            <w:vAlign w:val="center"/>
          </w:tcPr>
          <w:p w14:paraId="000002CA"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Kingsley</w:t>
            </w:r>
          </w:p>
        </w:tc>
        <w:tc>
          <w:tcPr>
            <w:tcW w:w="2070" w:type="dxa"/>
            <w:vAlign w:val="center"/>
          </w:tcPr>
          <w:p w14:paraId="000002CD" w14:textId="1FC102EF" w:rsidR="00CD3527" w:rsidRDefault="007D3577">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T</w:t>
            </w:r>
            <w:r w:rsidR="005D26D5">
              <w:rPr>
                <w:rFonts w:ascii="Cambria" w:eastAsia="Cambria" w:hAnsi="Cambria" w:cs="Cambria"/>
                <w:color w:val="000000"/>
              </w:rPr>
              <w:t xml:space="preserve"> </w:t>
            </w:r>
            <w:r w:rsidR="006745F9">
              <w:rPr>
                <w:rFonts w:ascii="Cambria" w:eastAsia="Cambria" w:hAnsi="Cambria" w:cs="Cambria"/>
                <w:color w:val="000000"/>
              </w:rPr>
              <w:t>9</w:t>
            </w:r>
            <w:r w:rsidR="005D26D5">
              <w:rPr>
                <w:rFonts w:ascii="Cambria" w:eastAsia="Cambria" w:hAnsi="Cambria" w:cs="Cambria"/>
                <w:color w:val="000000"/>
              </w:rPr>
              <w:t>-11:4</w:t>
            </w:r>
            <w:r w:rsidR="006745F9">
              <w:rPr>
                <w:rFonts w:ascii="Cambria" w:eastAsia="Cambria" w:hAnsi="Cambria" w:cs="Cambria"/>
                <w:color w:val="000000"/>
              </w:rPr>
              <w:t>5</w:t>
            </w:r>
          </w:p>
        </w:tc>
        <w:tc>
          <w:tcPr>
            <w:tcW w:w="648" w:type="dxa"/>
            <w:vAlign w:val="center"/>
          </w:tcPr>
          <w:p w14:paraId="000002CE" w14:textId="77777777" w:rsidR="00CD3527" w:rsidRDefault="007F4AED">
            <w:p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3</w:t>
            </w:r>
          </w:p>
        </w:tc>
      </w:tr>
      <w:tr w:rsidR="00CD3527" w14:paraId="4480BA48" w14:textId="77777777">
        <w:trPr>
          <w:trHeight w:val="540"/>
        </w:trPr>
        <w:tc>
          <w:tcPr>
            <w:tcW w:w="4901" w:type="dxa"/>
            <w:vAlign w:val="center"/>
          </w:tcPr>
          <w:p w14:paraId="000002CF"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CCPJ 6569 Ethical and Professional Issues in</w:t>
            </w:r>
          </w:p>
          <w:p w14:paraId="000002D0"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Clinical Psychology</w:t>
            </w:r>
          </w:p>
        </w:tc>
        <w:tc>
          <w:tcPr>
            <w:tcW w:w="1440" w:type="dxa"/>
            <w:vAlign w:val="center"/>
          </w:tcPr>
          <w:p w14:paraId="000002D1"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Finley</w:t>
            </w:r>
          </w:p>
        </w:tc>
        <w:tc>
          <w:tcPr>
            <w:tcW w:w="2070" w:type="dxa"/>
            <w:vAlign w:val="center"/>
          </w:tcPr>
          <w:p w14:paraId="000002D2" w14:textId="1F56E7F8"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M 1</w:t>
            </w:r>
            <w:r w:rsidR="007D3577">
              <w:rPr>
                <w:rFonts w:ascii="Cambria" w:eastAsia="Cambria" w:hAnsi="Cambria" w:cs="Cambria"/>
                <w:color w:val="000000"/>
              </w:rPr>
              <w:t>1</w:t>
            </w:r>
            <w:r>
              <w:rPr>
                <w:rFonts w:ascii="Cambria" w:eastAsia="Cambria" w:hAnsi="Cambria" w:cs="Cambria"/>
                <w:color w:val="000000"/>
              </w:rPr>
              <w:t>:00-</w:t>
            </w:r>
            <w:r w:rsidR="007D3577">
              <w:rPr>
                <w:rFonts w:ascii="Cambria" w:eastAsia="Cambria" w:hAnsi="Cambria" w:cs="Cambria"/>
                <w:color w:val="000000"/>
              </w:rPr>
              <w:t>1</w:t>
            </w:r>
            <w:r>
              <w:rPr>
                <w:rFonts w:ascii="Cambria" w:eastAsia="Cambria" w:hAnsi="Cambria" w:cs="Cambria"/>
                <w:color w:val="000000"/>
              </w:rPr>
              <w:t>2:40</w:t>
            </w:r>
          </w:p>
        </w:tc>
        <w:tc>
          <w:tcPr>
            <w:tcW w:w="648" w:type="dxa"/>
            <w:vAlign w:val="center"/>
          </w:tcPr>
          <w:p w14:paraId="000002D3" w14:textId="77777777" w:rsidR="00CD3527" w:rsidRDefault="007F4AED">
            <w:p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3</w:t>
            </w:r>
          </w:p>
        </w:tc>
      </w:tr>
      <w:tr w:rsidR="00CD3527" w14:paraId="19773CE4" w14:textId="77777777">
        <w:trPr>
          <w:trHeight w:val="540"/>
        </w:trPr>
        <w:tc>
          <w:tcPr>
            <w:tcW w:w="4901" w:type="dxa"/>
            <w:vAlign w:val="center"/>
          </w:tcPr>
          <w:p w14:paraId="000002D4"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ORLJ 5040 Research Methods in Social Psychology</w:t>
            </w:r>
          </w:p>
        </w:tc>
        <w:tc>
          <w:tcPr>
            <w:tcW w:w="1440" w:type="dxa"/>
            <w:vAlign w:val="center"/>
          </w:tcPr>
          <w:p w14:paraId="000002D5"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rPr>
              <w:t>Block</w:t>
            </w:r>
          </w:p>
        </w:tc>
        <w:tc>
          <w:tcPr>
            <w:tcW w:w="2070" w:type="dxa"/>
            <w:vAlign w:val="center"/>
          </w:tcPr>
          <w:p w14:paraId="000002D6" w14:textId="77777777" w:rsidR="00CD3527" w:rsidRDefault="007F4AED">
            <w:pPr>
              <w:pBdr>
                <w:top w:val="nil"/>
                <w:left w:val="nil"/>
                <w:bottom w:val="nil"/>
                <w:right w:val="nil"/>
                <w:between w:val="nil"/>
              </w:pBdr>
              <w:rPr>
                <w:rFonts w:ascii="Cambria" w:eastAsia="Cambria" w:hAnsi="Cambria" w:cs="Cambria"/>
              </w:rPr>
            </w:pPr>
            <w:r>
              <w:rPr>
                <w:rFonts w:ascii="Cambria" w:eastAsia="Cambria" w:hAnsi="Cambria" w:cs="Cambria"/>
              </w:rPr>
              <w:t>T 1:00-2:40</w:t>
            </w:r>
          </w:p>
        </w:tc>
        <w:tc>
          <w:tcPr>
            <w:tcW w:w="648" w:type="dxa"/>
            <w:vAlign w:val="center"/>
          </w:tcPr>
          <w:p w14:paraId="000002D7" w14:textId="77777777" w:rsidR="00CD3527" w:rsidRDefault="007F4AED">
            <w:p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3</w:t>
            </w:r>
          </w:p>
        </w:tc>
      </w:tr>
      <w:tr w:rsidR="00CD3527" w14:paraId="0E67BD6A" w14:textId="77777777">
        <w:trPr>
          <w:trHeight w:val="540"/>
        </w:trPr>
        <w:tc>
          <w:tcPr>
            <w:tcW w:w="4901" w:type="dxa"/>
            <w:vAlign w:val="center"/>
          </w:tcPr>
          <w:p w14:paraId="000002D8"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5032 Adult Personality &amp; Psychopathology</w:t>
            </w:r>
          </w:p>
        </w:tc>
        <w:tc>
          <w:tcPr>
            <w:tcW w:w="1440" w:type="dxa"/>
            <w:vAlign w:val="center"/>
          </w:tcPr>
          <w:p w14:paraId="000002D9"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Farber</w:t>
            </w:r>
          </w:p>
        </w:tc>
        <w:tc>
          <w:tcPr>
            <w:tcW w:w="2070" w:type="dxa"/>
            <w:vAlign w:val="center"/>
          </w:tcPr>
          <w:p w14:paraId="000002DA"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T 3:00-4:40</w:t>
            </w:r>
          </w:p>
        </w:tc>
        <w:tc>
          <w:tcPr>
            <w:tcW w:w="648" w:type="dxa"/>
            <w:vAlign w:val="center"/>
          </w:tcPr>
          <w:p w14:paraId="000002DB" w14:textId="77777777" w:rsidR="00CD3527" w:rsidRDefault="007F4AED">
            <w:p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3</w:t>
            </w:r>
          </w:p>
        </w:tc>
      </w:tr>
      <w:tr w:rsidR="00CD3527" w14:paraId="3CDA4308" w14:textId="77777777">
        <w:trPr>
          <w:trHeight w:val="540"/>
        </w:trPr>
        <w:tc>
          <w:tcPr>
            <w:tcW w:w="4901" w:type="dxa"/>
            <w:vAlign w:val="center"/>
          </w:tcPr>
          <w:p w14:paraId="000002DC"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5610 Colloquium (required but can be taken for 0 points)</w:t>
            </w:r>
          </w:p>
        </w:tc>
        <w:tc>
          <w:tcPr>
            <w:tcW w:w="1440" w:type="dxa"/>
            <w:vAlign w:val="center"/>
          </w:tcPr>
          <w:p w14:paraId="000002DD" w14:textId="32B83F63" w:rsidR="00CD3527" w:rsidRDefault="009C1A5E">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Gaba</w:t>
            </w:r>
          </w:p>
        </w:tc>
        <w:tc>
          <w:tcPr>
            <w:tcW w:w="2070" w:type="dxa"/>
            <w:vAlign w:val="center"/>
          </w:tcPr>
          <w:p w14:paraId="000002DE"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R 11:00-12:40</w:t>
            </w:r>
          </w:p>
        </w:tc>
        <w:tc>
          <w:tcPr>
            <w:tcW w:w="648" w:type="dxa"/>
            <w:vAlign w:val="center"/>
          </w:tcPr>
          <w:p w14:paraId="000002DF" w14:textId="77777777" w:rsidR="00CD3527" w:rsidRDefault="007F4AED">
            <w:p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0-1</w:t>
            </w:r>
          </w:p>
        </w:tc>
      </w:tr>
      <w:tr w:rsidR="00CD3527" w14:paraId="1C4A543D" w14:textId="77777777">
        <w:trPr>
          <w:trHeight w:val="540"/>
        </w:trPr>
        <w:tc>
          <w:tcPr>
            <w:tcW w:w="4901" w:type="dxa"/>
            <w:vAlign w:val="center"/>
          </w:tcPr>
          <w:p w14:paraId="000002E0"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HUDM 4122 Probability &amp; Statistical Inference (required for stats sequence but can be waived; see below)</w:t>
            </w:r>
          </w:p>
        </w:tc>
        <w:tc>
          <w:tcPr>
            <w:tcW w:w="1440" w:type="dxa"/>
            <w:vAlign w:val="center"/>
          </w:tcPr>
          <w:p w14:paraId="000002E1"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Varied</w:t>
            </w:r>
          </w:p>
        </w:tc>
        <w:tc>
          <w:tcPr>
            <w:tcW w:w="2070" w:type="dxa"/>
            <w:vAlign w:val="center"/>
          </w:tcPr>
          <w:p w14:paraId="000002E2"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M &amp;W 1:00-2:40</w:t>
            </w:r>
          </w:p>
          <w:p w14:paraId="000002E3" w14:textId="77777777" w:rsidR="00CD3527" w:rsidRDefault="007F4AED">
            <w:pPr>
              <w:pBdr>
                <w:top w:val="nil"/>
                <w:left w:val="nil"/>
                <w:bottom w:val="nil"/>
                <w:right w:val="nil"/>
                <w:between w:val="nil"/>
              </w:pBdr>
              <w:rPr>
                <w:rFonts w:ascii="Cambria" w:eastAsia="Cambria" w:hAnsi="Cambria" w:cs="Cambria"/>
              </w:rPr>
            </w:pPr>
            <w:r>
              <w:rPr>
                <w:rFonts w:ascii="Cambria" w:eastAsia="Cambria" w:hAnsi="Cambria" w:cs="Cambria"/>
              </w:rPr>
              <w:t>or M &amp;W 3:00-4:40</w:t>
            </w:r>
          </w:p>
          <w:p w14:paraId="000002E4"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rPr>
              <w:t>or R 5:00-8:00</w:t>
            </w:r>
          </w:p>
        </w:tc>
        <w:tc>
          <w:tcPr>
            <w:tcW w:w="648" w:type="dxa"/>
            <w:vAlign w:val="center"/>
          </w:tcPr>
          <w:p w14:paraId="000002E5"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3</w:t>
            </w:r>
          </w:p>
        </w:tc>
      </w:tr>
      <w:tr w:rsidR="00CD3527" w14:paraId="6A8E62D4" w14:textId="77777777">
        <w:trPr>
          <w:trHeight w:val="540"/>
        </w:trPr>
        <w:tc>
          <w:tcPr>
            <w:tcW w:w="4901" w:type="dxa"/>
            <w:vAlign w:val="center"/>
          </w:tcPr>
          <w:p w14:paraId="000002E6"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4900 Independent Study (look up particular advisor section)</w:t>
            </w:r>
          </w:p>
        </w:tc>
        <w:tc>
          <w:tcPr>
            <w:tcW w:w="1440" w:type="dxa"/>
            <w:vAlign w:val="center"/>
          </w:tcPr>
          <w:p w14:paraId="000002E7"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Faculty</w:t>
            </w:r>
          </w:p>
        </w:tc>
        <w:tc>
          <w:tcPr>
            <w:tcW w:w="2070" w:type="dxa"/>
            <w:vAlign w:val="center"/>
          </w:tcPr>
          <w:p w14:paraId="000002E8" w14:textId="77777777" w:rsidR="00CD3527" w:rsidRDefault="00CD3527">
            <w:pPr>
              <w:pBdr>
                <w:top w:val="nil"/>
                <w:left w:val="nil"/>
                <w:bottom w:val="nil"/>
                <w:right w:val="nil"/>
                <w:between w:val="nil"/>
              </w:pBdr>
              <w:rPr>
                <w:rFonts w:ascii="Cambria" w:eastAsia="Cambria" w:hAnsi="Cambria" w:cs="Cambria"/>
                <w:color w:val="000000"/>
              </w:rPr>
            </w:pPr>
          </w:p>
        </w:tc>
        <w:tc>
          <w:tcPr>
            <w:tcW w:w="648" w:type="dxa"/>
            <w:vAlign w:val="center"/>
          </w:tcPr>
          <w:p w14:paraId="000002E9"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1-3</w:t>
            </w:r>
          </w:p>
        </w:tc>
      </w:tr>
      <w:tr w:rsidR="00CD3527" w14:paraId="73724178" w14:textId="77777777">
        <w:trPr>
          <w:trHeight w:val="540"/>
        </w:trPr>
        <w:tc>
          <w:tcPr>
            <w:tcW w:w="4901" w:type="dxa"/>
            <w:vAlign w:val="center"/>
          </w:tcPr>
          <w:p w14:paraId="000002EA"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5110 Research Apprenticeship (look up particular advisor section)</w:t>
            </w:r>
          </w:p>
        </w:tc>
        <w:tc>
          <w:tcPr>
            <w:tcW w:w="1440" w:type="dxa"/>
            <w:vAlign w:val="center"/>
          </w:tcPr>
          <w:p w14:paraId="000002EB"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Faculty</w:t>
            </w:r>
          </w:p>
        </w:tc>
        <w:tc>
          <w:tcPr>
            <w:tcW w:w="2070" w:type="dxa"/>
            <w:vAlign w:val="center"/>
          </w:tcPr>
          <w:p w14:paraId="000002EC" w14:textId="77777777" w:rsidR="00CD3527" w:rsidRDefault="00CD3527">
            <w:pPr>
              <w:pBdr>
                <w:top w:val="nil"/>
                <w:left w:val="nil"/>
                <w:bottom w:val="nil"/>
                <w:right w:val="nil"/>
                <w:between w:val="nil"/>
              </w:pBdr>
              <w:rPr>
                <w:rFonts w:ascii="Cambria" w:eastAsia="Cambria" w:hAnsi="Cambria" w:cs="Cambria"/>
                <w:color w:val="000000"/>
              </w:rPr>
            </w:pPr>
          </w:p>
        </w:tc>
        <w:tc>
          <w:tcPr>
            <w:tcW w:w="648" w:type="dxa"/>
            <w:vAlign w:val="center"/>
          </w:tcPr>
          <w:p w14:paraId="000002ED"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0-3</w:t>
            </w:r>
          </w:p>
        </w:tc>
      </w:tr>
      <w:tr w:rsidR="00CD3527" w14:paraId="01468C5D" w14:textId="77777777">
        <w:trPr>
          <w:trHeight w:val="540"/>
        </w:trPr>
        <w:tc>
          <w:tcPr>
            <w:tcW w:w="4901" w:type="dxa"/>
            <w:vAlign w:val="center"/>
          </w:tcPr>
          <w:p w14:paraId="000002EE"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b/>
                <w:color w:val="000000"/>
              </w:rPr>
              <w:t>TOTAL REQUIRED POINTS</w:t>
            </w:r>
          </w:p>
        </w:tc>
        <w:tc>
          <w:tcPr>
            <w:tcW w:w="1440" w:type="dxa"/>
            <w:vAlign w:val="center"/>
          </w:tcPr>
          <w:p w14:paraId="000002EF" w14:textId="77777777" w:rsidR="00CD3527" w:rsidRDefault="00CD3527">
            <w:pPr>
              <w:pBdr>
                <w:top w:val="nil"/>
                <w:left w:val="nil"/>
                <w:bottom w:val="nil"/>
                <w:right w:val="nil"/>
                <w:between w:val="nil"/>
              </w:pBdr>
              <w:rPr>
                <w:rFonts w:ascii="Cambria" w:eastAsia="Cambria" w:hAnsi="Cambria" w:cs="Cambria"/>
                <w:color w:val="000000"/>
              </w:rPr>
            </w:pPr>
          </w:p>
        </w:tc>
        <w:tc>
          <w:tcPr>
            <w:tcW w:w="2070" w:type="dxa"/>
            <w:vAlign w:val="center"/>
          </w:tcPr>
          <w:p w14:paraId="000002F0" w14:textId="77777777" w:rsidR="00CD3527" w:rsidRDefault="00CD3527">
            <w:pPr>
              <w:pBdr>
                <w:top w:val="nil"/>
                <w:left w:val="nil"/>
                <w:bottom w:val="nil"/>
                <w:right w:val="nil"/>
                <w:between w:val="nil"/>
              </w:pBdr>
              <w:rPr>
                <w:rFonts w:ascii="Cambria" w:eastAsia="Cambria" w:hAnsi="Cambria" w:cs="Cambria"/>
                <w:color w:val="000000"/>
              </w:rPr>
            </w:pPr>
          </w:p>
        </w:tc>
        <w:tc>
          <w:tcPr>
            <w:tcW w:w="648" w:type="dxa"/>
            <w:vAlign w:val="center"/>
          </w:tcPr>
          <w:p w14:paraId="000002F1"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b/>
                <w:color w:val="000000"/>
              </w:rPr>
              <w:t>12</w:t>
            </w:r>
          </w:p>
        </w:tc>
      </w:tr>
    </w:tbl>
    <w:p w14:paraId="000002F2" w14:textId="77777777" w:rsidR="00CD3527" w:rsidRDefault="00CD3527">
      <w:pPr>
        <w:pStyle w:val="Heading3"/>
        <w:rPr>
          <w:sz w:val="11"/>
          <w:szCs w:val="11"/>
        </w:rPr>
      </w:pPr>
    </w:p>
    <w:p w14:paraId="000002F3" w14:textId="77777777" w:rsidR="00CD3527" w:rsidRDefault="007F4AED">
      <w:pPr>
        <w:pStyle w:val="Heading3"/>
      </w:pPr>
      <w:r>
        <w:t xml:space="preserve">Spring Semester </w:t>
      </w:r>
    </w:p>
    <w:p w14:paraId="000002F4" w14:textId="77777777" w:rsidR="00CD3527" w:rsidRDefault="00CD3527">
      <w:pPr>
        <w:pBdr>
          <w:top w:val="nil"/>
          <w:left w:val="nil"/>
          <w:bottom w:val="nil"/>
          <w:right w:val="nil"/>
          <w:between w:val="nil"/>
        </w:pBdr>
        <w:rPr>
          <w:rFonts w:ascii="Cambria" w:eastAsia="Cambria" w:hAnsi="Cambria" w:cs="Cambria"/>
          <w:color w:val="000000"/>
          <w:u w:val="single"/>
        </w:rPr>
      </w:pPr>
    </w:p>
    <w:tbl>
      <w:tblPr>
        <w:tblStyle w:val="a1"/>
        <w:tblW w:w="90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901"/>
        <w:gridCol w:w="1440"/>
        <w:gridCol w:w="2070"/>
        <w:gridCol w:w="648"/>
      </w:tblGrid>
      <w:tr w:rsidR="00CD3527" w14:paraId="0A837154" w14:textId="77777777">
        <w:trPr>
          <w:trHeight w:val="540"/>
        </w:trPr>
        <w:tc>
          <w:tcPr>
            <w:tcW w:w="4901" w:type="dxa"/>
            <w:vAlign w:val="center"/>
          </w:tcPr>
          <w:p w14:paraId="000002F5"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HUDM 5122 Applied Regression Analysis</w:t>
            </w:r>
          </w:p>
        </w:tc>
        <w:tc>
          <w:tcPr>
            <w:tcW w:w="1440" w:type="dxa"/>
            <w:vAlign w:val="center"/>
          </w:tcPr>
          <w:p w14:paraId="000002F6"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Suk</w:t>
            </w:r>
          </w:p>
        </w:tc>
        <w:tc>
          <w:tcPr>
            <w:tcW w:w="2070" w:type="dxa"/>
            <w:vAlign w:val="center"/>
          </w:tcPr>
          <w:p w14:paraId="000002F7"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T &amp; Th 1:00-2:40</w:t>
            </w:r>
          </w:p>
        </w:tc>
        <w:tc>
          <w:tcPr>
            <w:tcW w:w="648" w:type="dxa"/>
            <w:vAlign w:val="center"/>
          </w:tcPr>
          <w:p w14:paraId="000002F8" w14:textId="77777777" w:rsidR="00CD3527" w:rsidRDefault="007F4AED">
            <w:p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3</w:t>
            </w:r>
          </w:p>
        </w:tc>
      </w:tr>
      <w:tr w:rsidR="00CD3527" w14:paraId="6F9F5711" w14:textId="77777777">
        <w:trPr>
          <w:trHeight w:val="540"/>
        </w:trPr>
        <w:tc>
          <w:tcPr>
            <w:tcW w:w="4901" w:type="dxa"/>
            <w:vAlign w:val="center"/>
          </w:tcPr>
          <w:p w14:paraId="000002F9"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5037 Dynamic Psychotherapies</w:t>
            </w:r>
          </w:p>
        </w:tc>
        <w:tc>
          <w:tcPr>
            <w:tcW w:w="1440" w:type="dxa"/>
            <w:vAlign w:val="center"/>
          </w:tcPr>
          <w:p w14:paraId="000002FA"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Blanchard</w:t>
            </w:r>
          </w:p>
        </w:tc>
        <w:tc>
          <w:tcPr>
            <w:tcW w:w="2070" w:type="dxa"/>
            <w:vAlign w:val="center"/>
          </w:tcPr>
          <w:p w14:paraId="000002FB"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W 10:00-11:40</w:t>
            </w:r>
          </w:p>
        </w:tc>
        <w:tc>
          <w:tcPr>
            <w:tcW w:w="648" w:type="dxa"/>
            <w:vAlign w:val="center"/>
          </w:tcPr>
          <w:p w14:paraId="000002FC" w14:textId="77777777" w:rsidR="00CD3527" w:rsidRDefault="007F4AED">
            <w:p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3</w:t>
            </w:r>
          </w:p>
        </w:tc>
      </w:tr>
      <w:tr w:rsidR="00CD3527" w14:paraId="4EDC0B51" w14:textId="77777777">
        <w:trPr>
          <w:trHeight w:val="540"/>
        </w:trPr>
        <w:tc>
          <w:tcPr>
            <w:tcW w:w="4901" w:type="dxa"/>
            <w:vAlign w:val="center"/>
          </w:tcPr>
          <w:p w14:paraId="000002FD"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5333 Practicum in Clinical Assessment</w:t>
            </w:r>
          </w:p>
        </w:tc>
        <w:tc>
          <w:tcPr>
            <w:tcW w:w="1440" w:type="dxa"/>
            <w:vAlign w:val="center"/>
          </w:tcPr>
          <w:p w14:paraId="000002FE"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Kingsley</w:t>
            </w:r>
          </w:p>
        </w:tc>
        <w:tc>
          <w:tcPr>
            <w:tcW w:w="2070" w:type="dxa"/>
            <w:vAlign w:val="center"/>
          </w:tcPr>
          <w:p w14:paraId="00000300" w14:textId="0976224F" w:rsidR="00CD3527" w:rsidRDefault="007F4AED" w:rsidP="006055CF">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T </w:t>
            </w:r>
            <w:r w:rsidR="006055CF">
              <w:rPr>
                <w:rFonts w:ascii="Cambria" w:eastAsia="Cambria" w:hAnsi="Cambria" w:cs="Cambria"/>
                <w:color w:val="000000"/>
              </w:rPr>
              <w:t>9-1</w:t>
            </w:r>
            <w:r w:rsidR="006745F9">
              <w:rPr>
                <w:rFonts w:ascii="Cambria" w:eastAsia="Cambria" w:hAnsi="Cambria" w:cs="Cambria"/>
                <w:color w:val="000000"/>
              </w:rPr>
              <w:t>1:45</w:t>
            </w:r>
          </w:p>
        </w:tc>
        <w:tc>
          <w:tcPr>
            <w:tcW w:w="648" w:type="dxa"/>
            <w:vAlign w:val="center"/>
          </w:tcPr>
          <w:p w14:paraId="00000301" w14:textId="77777777" w:rsidR="00CD3527" w:rsidRDefault="007F4AED">
            <w:p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3</w:t>
            </w:r>
          </w:p>
        </w:tc>
      </w:tr>
      <w:tr w:rsidR="00CD3527" w14:paraId="6AAB0674" w14:textId="77777777">
        <w:trPr>
          <w:trHeight w:val="540"/>
        </w:trPr>
        <w:tc>
          <w:tcPr>
            <w:tcW w:w="4901" w:type="dxa"/>
            <w:vAlign w:val="center"/>
          </w:tcPr>
          <w:p w14:paraId="00000302"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5539 Clinical Assessment: The Intake Interview</w:t>
            </w:r>
          </w:p>
        </w:tc>
        <w:tc>
          <w:tcPr>
            <w:tcW w:w="1440" w:type="dxa"/>
            <w:vAlign w:val="center"/>
          </w:tcPr>
          <w:p w14:paraId="00000303"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Rosa</w:t>
            </w:r>
          </w:p>
        </w:tc>
        <w:tc>
          <w:tcPr>
            <w:tcW w:w="2070" w:type="dxa"/>
            <w:vAlign w:val="center"/>
          </w:tcPr>
          <w:p w14:paraId="00000304"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M 10:00-11:40</w:t>
            </w:r>
          </w:p>
        </w:tc>
        <w:tc>
          <w:tcPr>
            <w:tcW w:w="648" w:type="dxa"/>
            <w:vAlign w:val="center"/>
          </w:tcPr>
          <w:p w14:paraId="00000305" w14:textId="77777777" w:rsidR="00CD3527" w:rsidRDefault="007F4AED">
            <w:p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3</w:t>
            </w:r>
          </w:p>
        </w:tc>
      </w:tr>
      <w:tr w:rsidR="00CD3527" w14:paraId="3E237CC9" w14:textId="77777777">
        <w:trPr>
          <w:trHeight w:val="540"/>
        </w:trPr>
        <w:tc>
          <w:tcPr>
            <w:tcW w:w="4901" w:type="dxa"/>
            <w:vAlign w:val="center"/>
          </w:tcPr>
          <w:p w14:paraId="00000306"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5610 Colloquium</w:t>
            </w:r>
          </w:p>
        </w:tc>
        <w:tc>
          <w:tcPr>
            <w:tcW w:w="1440" w:type="dxa"/>
            <w:vAlign w:val="center"/>
          </w:tcPr>
          <w:p w14:paraId="00000307" w14:textId="0F0BAC5F" w:rsidR="00CD3527" w:rsidRDefault="009C1A5E">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Gaba</w:t>
            </w:r>
          </w:p>
        </w:tc>
        <w:tc>
          <w:tcPr>
            <w:tcW w:w="2070" w:type="dxa"/>
            <w:vAlign w:val="center"/>
          </w:tcPr>
          <w:p w14:paraId="00000308"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R 11:00-12:40</w:t>
            </w:r>
          </w:p>
        </w:tc>
        <w:tc>
          <w:tcPr>
            <w:tcW w:w="648" w:type="dxa"/>
            <w:vAlign w:val="center"/>
          </w:tcPr>
          <w:p w14:paraId="00000309" w14:textId="77777777" w:rsidR="00CD3527" w:rsidRDefault="007F4AED">
            <w:p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0-1</w:t>
            </w:r>
          </w:p>
        </w:tc>
      </w:tr>
      <w:tr w:rsidR="00CD3527" w14:paraId="72771364" w14:textId="77777777">
        <w:trPr>
          <w:trHeight w:val="540"/>
        </w:trPr>
        <w:tc>
          <w:tcPr>
            <w:tcW w:w="4901" w:type="dxa"/>
            <w:vAlign w:val="center"/>
          </w:tcPr>
          <w:p w14:paraId="0000030A"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5630 Case Conference</w:t>
            </w:r>
          </w:p>
        </w:tc>
        <w:tc>
          <w:tcPr>
            <w:tcW w:w="1440" w:type="dxa"/>
            <w:vAlign w:val="center"/>
          </w:tcPr>
          <w:p w14:paraId="0000030B"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Rosa</w:t>
            </w:r>
          </w:p>
        </w:tc>
        <w:tc>
          <w:tcPr>
            <w:tcW w:w="2070" w:type="dxa"/>
            <w:vAlign w:val="center"/>
          </w:tcPr>
          <w:p w14:paraId="0000030C"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W 3:00-4:40</w:t>
            </w:r>
          </w:p>
        </w:tc>
        <w:tc>
          <w:tcPr>
            <w:tcW w:w="648" w:type="dxa"/>
            <w:vAlign w:val="center"/>
          </w:tcPr>
          <w:p w14:paraId="0000030D" w14:textId="77777777" w:rsidR="00CD3527" w:rsidRDefault="007F4AED">
            <w:p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0-1</w:t>
            </w:r>
          </w:p>
        </w:tc>
      </w:tr>
      <w:tr w:rsidR="00CD3527" w14:paraId="115E0866" w14:textId="77777777">
        <w:trPr>
          <w:trHeight w:val="540"/>
        </w:trPr>
        <w:tc>
          <w:tcPr>
            <w:tcW w:w="4901" w:type="dxa"/>
            <w:vAlign w:val="center"/>
          </w:tcPr>
          <w:p w14:paraId="00000312"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lastRenderedPageBreak/>
              <w:t>CCPX 4900 Independent Study (look up particular advisor section)</w:t>
            </w:r>
          </w:p>
        </w:tc>
        <w:tc>
          <w:tcPr>
            <w:tcW w:w="1440" w:type="dxa"/>
            <w:vAlign w:val="center"/>
          </w:tcPr>
          <w:p w14:paraId="00000313"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Faculty</w:t>
            </w:r>
          </w:p>
        </w:tc>
        <w:tc>
          <w:tcPr>
            <w:tcW w:w="2070" w:type="dxa"/>
            <w:vAlign w:val="center"/>
          </w:tcPr>
          <w:p w14:paraId="00000314" w14:textId="77777777" w:rsidR="00CD3527" w:rsidRDefault="00CD3527">
            <w:pPr>
              <w:pBdr>
                <w:top w:val="nil"/>
                <w:left w:val="nil"/>
                <w:bottom w:val="nil"/>
                <w:right w:val="nil"/>
                <w:between w:val="nil"/>
              </w:pBdr>
              <w:rPr>
                <w:rFonts w:ascii="Cambria" w:eastAsia="Cambria" w:hAnsi="Cambria" w:cs="Cambria"/>
                <w:color w:val="000000"/>
              </w:rPr>
            </w:pPr>
          </w:p>
        </w:tc>
        <w:tc>
          <w:tcPr>
            <w:tcW w:w="648" w:type="dxa"/>
            <w:vAlign w:val="center"/>
          </w:tcPr>
          <w:p w14:paraId="00000315"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1-3</w:t>
            </w:r>
          </w:p>
        </w:tc>
      </w:tr>
      <w:tr w:rsidR="00CD3527" w14:paraId="5F74FB3B" w14:textId="77777777">
        <w:trPr>
          <w:trHeight w:val="540"/>
        </w:trPr>
        <w:tc>
          <w:tcPr>
            <w:tcW w:w="4901" w:type="dxa"/>
            <w:vAlign w:val="center"/>
          </w:tcPr>
          <w:p w14:paraId="00000316"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5110 Research Apprenticeship (look up particular advisor section)</w:t>
            </w:r>
          </w:p>
        </w:tc>
        <w:tc>
          <w:tcPr>
            <w:tcW w:w="1440" w:type="dxa"/>
            <w:vAlign w:val="center"/>
          </w:tcPr>
          <w:p w14:paraId="00000317"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Faculty</w:t>
            </w:r>
          </w:p>
        </w:tc>
        <w:tc>
          <w:tcPr>
            <w:tcW w:w="2070" w:type="dxa"/>
            <w:vAlign w:val="center"/>
          </w:tcPr>
          <w:p w14:paraId="00000318" w14:textId="77777777" w:rsidR="00CD3527" w:rsidRDefault="00CD3527">
            <w:pPr>
              <w:pBdr>
                <w:top w:val="nil"/>
                <w:left w:val="nil"/>
                <w:bottom w:val="nil"/>
                <w:right w:val="nil"/>
                <w:between w:val="nil"/>
              </w:pBdr>
              <w:rPr>
                <w:rFonts w:ascii="Cambria" w:eastAsia="Cambria" w:hAnsi="Cambria" w:cs="Cambria"/>
                <w:color w:val="000000"/>
              </w:rPr>
            </w:pPr>
          </w:p>
        </w:tc>
        <w:tc>
          <w:tcPr>
            <w:tcW w:w="648" w:type="dxa"/>
            <w:vAlign w:val="center"/>
          </w:tcPr>
          <w:p w14:paraId="00000319"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0-3</w:t>
            </w:r>
          </w:p>
        </w:tc>
      </w:tr>
      <w:tr w:rsidR="00CD3527" w14:paraId="25D6FFE5" w14:textId="77777777">
        <w:trPr>
          <w:trHeight w:val="540"/>
        </w:trPr>
        <w:tc>
          <w:tcPr>
            <w:tcW w:w="4901" w:type="dxa"/>
            <w:vAlign w:val="center"/>
          </w:tcPr>
          <w:p w14:paraId="0000031A"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b/>
                <w:color w:val="000000"/>
              </w:rPr>
              <w:t xml:space="preserve">TOTAL REQUIRED POINTS </w:t>
            </w:r>
          </w:p>
        </w:tc>
        <w:tc>
          <w:tcPr>
            <w:tcW w:w="1440" w:type="dxa"/>
            <w:vAlign w:val="center"/>
          </w:tcPr>
          <w:p w14:paraId="0000031B" w14:textId="77777777" w:rsidR="00CD3527" w:rsidRDefault="00CD3527">
            <w:pPr>
              <w:pBdr>
                <w:top w:val="nil"/>
                <w:left w:val="nil"/>
                <w:bottom w:val="nil"/>
                <w:right w:val="nil"/>
                <w:between w:val="nil"/>
              </w:pBdr>
              <w:rPr>
                <w:rFonts w:ascii="Cambria" w:eastAsia="Cambria" w:hAnsi="Cambria" w:cs="Cambria"/>
                <w:color w:val="000000"/>
              </w:rPr>
            </w:pPr>
          </w:p>
        </w:tc>
        <w:tc>
          <w:tcPr>
            <w:tcW w:w="2070" w:type="dxa"/>
            <w:vAlign w:val="center"/>
          </w:tcPr>
          <w:p w14:paraId="0000031C" w14:textId="77777777" w:rsidR="00CD3527" w:rsidRDefault="00CD3527">
            <w:pPr>
              <w:pBdr>
                <w:top w:val="nil"/>
                <w:left w:val="nil"/>
                <w:bottom w:val="nil"/>
                <w:right w:val="nil"/>
                <w:between w:val="nil"/>
              </w:pBdr>
              <w:rPr>
                <w:rFonts w:ascii="Cambria" w:eastAsia="Cambria" w:hAnsi="Cambria" w:cs="Cambria"/>
                <w:color w:val="000000"/>
              </w:rPr>
            </w:pPr>
          </w:p>
        </w:tc>
        <w:tc>
          <w:tcPr>
            <w:tcW w:w="648" w:type="dxa"/>
            <w:vAlign w:val="center"/>
          </w:tcPr>
          <w:p w14:paraId="0000031D" w14:textId="77777777" w:rsidR="00CD3527" w:rsidRDefault="00CD3527">
            <w:pPr>
              <w:pBdr>
                <w:top w:val="nil"/>
                <w:left w:val="nil"/>
                <w:bottom w:val="nil"/>
                <w:right w:val="nil"/>
                <w:between w:val="nil"/>
              </w:pBdr>
              <w:rPr>
                <w:rFonts w:ascii="Cambria" w:eastAsia="Cambria" w:hAnsi="Cambria" w:cs="Cambria"/>
                <w:b/>
                <w:color w:val="000000"/>
              </w:rPr>
            </w:pPr>
          </w:p>
          <w:p w14:paraId="0000031E"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b/>
                <w:color w:val="000000"/>
              </w:rPr>
              <w:t>12</w:t>
            </w:r>
          </w:p>
        </w:tc>
      </w:tr>
    </w:tbl>
    <w:p w14:paraId="0000032A" w14:textId="77777777" w:rsidR="00CD3527" w:rsidRDefault="00CD3527">
      <w:pPr>
        <w:pBdr>
          <w:top w:val="nil"/>
          <w:left w:val="nil"/>
          <w:bottom w:val="nil"/>
          <w:right w:val="nil"/>
          <w:between w:val="nil"/>
        </w:pBdr>
        <w:rPr>
          <w:rFonts w:ascii="Cambria" w:eastAsia="Cambria" w:hAnsi="Cambria" w:cs="Cambria"/>
          <w:color w:val="000000"/>
        </w:rPr>
      </w:pPr>
      <w:bookmarkStart w:id="42" w:name="_heading=h.3fwokq0" w:colFirst="0" w:colLast="0"/>
      <w:bookmarkEnd w:id="42"/>
    </w:p>
    <w:p w14:paraId="0000032B" w14:textId="77777777" w:rsidR="00CD3527" w:rsidRDefault="00CD3527">
      <w:pPr>
        <w:pBdr>
          <w:top w:val="nil"/>
          <w:left w:val="nil"/>
          <w:bottom w:val="nil"/>
          <w:right w:val="nil"/>
          <w:between w:val="nil"/>
        </w:pBdr>
        <w:rPr>
          <w:rFonts w:ascii="Cambria" w:eastAsia="Cambria" w:hAnsi="Cambria" w:cs="Cambria"/>
          <w:color w:val="000000"/>
        </w:rPr>
      </w:pPr>
    </w:p>
    <w:p w14:paraId="0000032C" w14:textId="77777777" w:rsidR="00CD3527" w:rsidRDefault="007F4AED">
      <w:pPr>
        <w:pBdr>
          <w:top w:val="nil"/>
          <w:left w:val="nil"/>
          <w:bottom w:val="nil"/>
          <w:right w:val="nil"/>
          <w:between w:val="nil"/>
        </w:pBdr>
        <w:rPr>
          <w:rFonts w:ascii="Cambria" w:eastAsia="Cambria" w:hAnsi="Cambria" w:cs="Cambria"/>
          <w:color w:val="000000"/>
          <w:u w:val="single"/>
        </w:rPr>
      </w:pPr>
      <w:r>
        <w:rPr>
          <w:rFonts w:ascii="Cambria" w:eastAsia="Cambria" w:hAnsi="Cambria" w:cs="Cambria"/>
          <w:color w:val="000000"/>
          <w:u w:val="single"/>
        </w:rPr>
        <w:t>Additional First Year Requirements and Information</w:t>
      </w:r>
    </w:p>
    <w:p w14:paraId="0000032D" w14:textId="77777777" w:rsidR="00CD3527" w:rsidRDefault="00CD3527">
      <w:pPr>
        <w:pBdr>
          <w:top w:val="nil"/>
          <w:left w:val="nil"/>
          <w:bottom w:val="nil"/>
          <w:right w:val="nil"/>
          <w:between w:val="nil"/>
        </w:pBdr>
        <w:rPr>
          <w:rFonts w:ascii="Cambria" w:eastAsia="Cambria" w:hAnsi="Cambria" w:cs="Cambria"/>
          <w:color w:val="000000"/>
          <w:u w:val="single"/>
        </w:rPr>
      </w:pPr>
    </w:p>
    <w:p w14:paraId="0000032E" w14:textId="4A25BE60" w:rsidR="00CD3527" w:rsidRDefault="007F4AED">
      <w:pPr>
        <w:numPr>
          <w:ilvl w:val="0"/>
          <w:numId w:val="33"/>
        </w:numPr>
        <w:pBdr>
          <w:top w:val="nil"/>
          <w:left w:val="nil"/>
          <w:bottom w:val="nil"/>
          <w:right w:val="nil"/>
          <w:between w:val="nil"/>
        </w:pBdr>
        <w:spacing w:after="120"/>
        <w:rPr>
          <w:rFonts w:ascii="Cambria" w:eastAsia="Cambria" w:hAnsi="Cambria" w:cs="Cambria"/>
          <w:color w:val="000000"/>
        </w:rPr>
      </w:pPr>
      <w:r>
        <w:rPr>
          <w:rFonts w:ascii="Cambria" w:eastAsia="Cambria" w:hAnsi="Cambria" w:cs="Cambria"/>
          <w:color w:val="000000"/>
          <w:u w:val="single"/>
        </w:rPr>
        <w:t>Statistics:</w:t>
      </w:r>
      <w:r>
        <w:rPr>
          <w:rFonts w:ascii="Cambria" w:eastAsia="Cambria" w:hAnsi="Cambria" w:cs="Cambria"/>
          <w:color w:val="000000"/>
        </w:rPr>
        <w:t xml:space="preserve"> Students who have not had a graduate course in statistics or who feel they need extra preparation before the required two-semester sequence in statistics (HUDM 5122; HUDM 5123) will need to take HUDM 4122 Probability and Statistical Inference in the Fall (times above). There’s also an online, asynchronous, version of this course. You are also able to waive out of HUDM4122. Please note that a waiver from these introductory courses does not reduce the total number of points required for your Ph.D. degree. An automatic waiver is sometimes given if a student can show evidence of successful completion of a comparable GRADUATE course at another institution (including both a transcript and a course syllabus). However, please note that students with previous stats courses **only at the undergraduate level** MUST take our HUDM4122 or the equivalency test. The HUDM4122 equivalency exam has three sections: Probab</w:t>
      </w:r>
      <w:r w:rsidR="00CA52E5">
        <w:rPr>
          <w:rFonts w:ascii="Cambria" w:eastAsia="Cambria" w:hAnsi="Cambria" w:cs="Cambria"/>
          <w:color w:val="000000"/>
        </w:rPr>
        <w:t>i</w:t>
      </w:r>
      <w:r>
        <w:rPr>
          <w:rFonts w:ascii="Cambria" w:eastAsia="Cambria" w:hAnsi="Cambria" w:cs="Cambria"/>
          <w:color w:val="000000"/>
        </w:rPr>
        <w:t xml:space="preserve">lity, Random Variables, and Statistical Inference. Tested topics include simple (applied) probability problems, simple descriptive statistics, sampling, the nature of variables, expected value, random variables, basic statistical inference (including one and two group t tests, chi-square tests, and uses of the F statistic). You are allowed a calculator, but no access to computer software, nor books or notes. Formula sheets are provided with: 1) Basic probability formulas; 2) rules for random variables; and 3) formulas for t, z, and chi-square tests (along with the corresponding tables of probability / critical values). Further, you are allowed up to three hours to take the test, but you will likely ne able to complete it in less than two hours. To have your graduate stats course reviewed for the waiver, please send your syllabus to Bryan Keller (Director of Applied Statistics Program, Human Development Department), </w:t>
      </w:r>
      <w:hyperlink r:id="rId56">
        <w:r>
          <w:rPr>
            <w:rFonts w:ascii="Cambria" w:eastAsia="Cambria" w:hAnsi="Cambria" w:cs="Cambria"/>
            <w:color w:val="0000FF"/>
            <w:u w:val="single"/>
          </w:rPr>
          <w:t>keller4@tc.columbia.edu</w:t>
        </w:r>
      </w:hyperlink>
      <w:r>
        <w:rPr>
          <w:rFonts w:ascii="Cambria" w:eastAsia="Cambria" w:hAnsi="Cambria" w:cs="Cambria"/>
          <w:color w:val="000000"/>
        </w:rPr>
        <w:t xml:space="preserve">, Jonathan Chastain (administrator of Development department, </w:t>
      </w:r>
      <w:hyperlink r:id="rId57">
        <w:r>
          <w:rPr>
            <w:rFonts w:ascii="Cambria" w:eastAsia="Cambria" w:hAnsi="Cambria" w:cs="Cambria"/>
            <w:color w:val="0000FF"/>
            <w:u w:val="single"/>
          </w:rPr>
          <w:t>jlc2319@tc.columbia.edu</w:t>
        </w:r>
      </w:hyperlink>
      <w:r>
        <w:rPr>
          <w:rFonts w:ascii="Cambria" w:eastAsia="Cambria" w:hAnsi="Cambria" w:cs="Cambria"/>
          <w:color w:val="000000"/>
        </w:rPr>
        <w:t xml:space="preserve">), and to the </w:t>
      </w:r>
      <w:r w:rsidR="009E0221">
        <w:rPr>
          <w:rFonts w:ascii="Cambria" w:eastAsia="Cambria" w:hAnsi="Cambria" w:cs="Cambria"/>
          <w:color w:val="000000"/>
        </w:rPr>
        <w:t>co-</w:t>
      </w:r>
      <w:r>
        <w:rPr>
          <w:rFonts w:ascii="Cambria" w:eastAsia="Cambria" w:hAnsi="Cambria" w:cs="Cambria"/>
          <w:color w:val="000000"/>
        </w:rPr>
        <w:t>DCT</w:t>
      </w:r>
      <w:r w:rsidR="009E0221">
        <w:rPr>
          <w:rFonts w:ascii="Cambria" w:eastAsia="Cambria" w:hAnsi="Cambria" w:cs="Cambria"/>
          <w:color w:val="000000"/>
        </w:rPr>
        <w:t>s</w:t>
      </w:r>
      <w:r>
        <w:rPr>
          <w:rFonts w:ascii="Cambria" w:eastAsia="Cambria" w:hAnsi="Cambria" w:cs="Cambria"/>
          <w:color w:val="000000"/>
        </w:rPr>
        <w:t xml:space="preserve">, </w:t>
      </w:r>
      <w:r w:rsidR="009E0221">
        <w:rPr>
          <w:rFonts w:ascii="Cambria" w:eastAsia="Cambria" w:hAnsi="Cambria" w:cs="Cambria"/>
          <w:color w:val="000000"/>
        </w:rPr>
        <w:t>either Dr. Barry Farber (</w:t>
      </w:r>
      <w:hyperlink r:id="rId58" w:history="1">
        <w:r w:rsidR="009E0221" w:rsidRPr="009403C1">
          <w:rPr>
            <w:rStyle w:val="Hyperlink"/>
            <w:rFonts w:ascii="Cambria" w:eastAsia="Cambria" w:hAnsi="Cambria" w:cs="Cambria"/>
          </w:rPr>
          <w:t>bf39@tc.columbia.edu</w:t>
        </w:r>
      </w:hyperlink>
      <w:r w:rsidR="009E0221">
        <w:rPr>
          <w:rFonts w:ascii="Cambria" w:eastAsia="Cambria" w:hAnsi="Cambria" w:cs="Cambria"/>
          <w:color w:val="000000"/>
        </w:rPr>
        <w:t>) or Dr. Lena Verdeli (</w:t>
      </w:r>
      <w:r w:rsidR="009E0221" w:rsidRPr="009E0221">
        <w:rPr>
          <w:rFonts w:ascii="Cambria" w:eastAsia="Cambria" w:hAnsi="Cambria" w:cs="Cambria"/>
          <w:color w:val="000000"/>
        </w:rPr>
        <w:t>hv2009@tc.columbia.edu</w:t>
      </w:r>
      <w:r>
        <w:rPr>
          <w:rFonts w:ascii="Cambria" w:eastAsia="Cambria" w:hAnsi="Cambria" w:cs="Cambria"/>
          <w:color w:val="000000"/>
        </w:rPr>
        <w:t>. To schedule the equivalency exam in person in the Human Development (HUD) office, please contact Jonathan Chastain (</w:t>
      </w:r>
      <w:hyperlink r:id="rId59">
        <w:r>
          <w:rPr>
            <w:rFonts w:ascii="Cambria" w:eastAsia="Cambria" w:hAnsi="Cambria" w:cs="Cambria"/>
            <w:color w:val="0000FF"/>
            <w:u w:val="single"/>
          </w:rPr>
          <w:t>jlc2319@tc.columbia.edu</w:t>
        </w:r>
      </w:hyperlink>
      <w:r>
        <w:rPr>
          <w:rFonts w:ascii="Cambria" w:eastAsia="Cambria" w:hAnsi="Cambria" w:cs="Cambria"/>
          <w:color w:val="000000"/>
        </w:rPr>
        <w:t>). If students wish to take the exam, they should arrange to do so well before the beginning of the semester when they will take HUDM 5122 because it needs to be scored, which can take a week or two.</w:t>
      </w:r>
    </w:p>
    <w:p w14:paraId="0000032F" w14:textId="77777777" w:rsidR="00CD3527" w:rsidRDefault="007F4AED">
      <w:pPr>
        <w:numPr>
          <w:ilvl w:val="0"/>
          <w:numId w:val="33"/>
        </w:numPr>
        <w:pBdr>
          <w:top w:val="nil"/>
          <w:left w:val="nil"/>
          <w:bottom w:val="nil"/>
          <w:right w:val="nil"/>
          <w:between w:val="nil"/>
        </w:pBdr>
        <w:spacing w:after="120"/>
        <w:rPr>
          <w:rFonts w:ascii="Cambria" w:eastAsia="Cambria" w:hAnsi="Cambria" w:cs="Cambria"/>
          <w:color w:val="000000"/>
        </w:rPr>
      </w:pPr>
      <w:r>
        <w:rPr>
          <w:rFonts w:ascii="Cambria" w:eastAsia="Cambria" w:hAnsi="Cambria" w:cs="Cambria"/>
          <w:color w:val="000000"/>
          <w:u w:val="single"/>
        </w:rPr>
        <w:t>Practicum in Clinical Assessment (CCPX 5333):</w:t>
      </w:r>
      <w:r>
        <w:rPr>
          <w:rFonts w:ascii="Cambria" w:eastAsia="Cambria" w:hAnsi="Cambria" w:cs="Cambria"/>
          <w:color w:val="000000"/>
        </w:rPr>
        <w:t xml:space="preserve"> This practicum is designed to provide students with supervised experience in assessment. This is </w:t>
      </w:r>
      <w:r>
        <w:rPr>
          <w:rFonts w:ascii="Cambria" w:eastAsia="Cambria" w:hAnsi="Cambria" w:cs="Cambria"/>
          <w:i/>
          <w:color w:val="000000"/>
        </w:rPr>
        <w:t>not</w:t>
      </w:r>
      <w:r>
        <w:rPr>
          <w:rFonts w:ascii="Cambria" w:eastAsia="Cambria" w:hAnsi="Cambria" w:cs="Cambria"/>
          <w:color w:val="000000"/>
        </w:rPr>
        <w:t xml:space="preserve"> a psychotherapy practicum. Students are expected to provide assessment (a comprehensive battery of psychological tests) to at least two clients of the Dean </w:t>
      </w:r>
      <w:r>
        <w:rPr>
          <w:rFonts w:ascii="Cambria" w:eastAsia="Cambria" w:hAnsi="Cambria" w:cs="Cambria"/>
          <w:color w:val="000000"/>
        </w:rPr>
        <w:lastRenderedPageBreak/>
        <w:t xml:space="preserve">Hope Center. </w:t>
      </w:r>
      <w:r>
        <w:rPr>
          <w:rFonts w:ascii="Cambria" w:eastAsia="Cambria" w:hAnsi="Cambria" w:cs="Cambria"/>
          <w:i/>
          <w:color w:val="000000"/>
        </w:rPr>
        <w:t>Students must have professional liability insurance before beginning this (and any other) practicum.</w:t>
      </w:r>
    </w:p>
    <w:p w14:paraId="00000330" w14:textId="77777777" w:rsidR="00CD3527" w:rsidRDefault="007F4AED">
      <w:pPr>
        <w:numPr>
          <w:ilvl w:val="0"/>
          <w:numId w:val="33"/>
        </w:numPr>
        <w:pBdr>
          <w:top w:val="nil"/>
          <w:left w:val="nil"/>
          <w:bottom w:val="nil"/>
          <w:right w:val="nil"/>
          <w:between w:val="nil"/>
        </w:pBdr>
        <w:spacing w:after="120"/>
        <w:rPr>
          <w:rFonts w:ascii="Cambria" w:eastAsia="Cambria" w:hAnsi="Cambria" w:cs="Cambria"/>
          <w:color w:val="000000"/>
        </w:rPr>
      </w:pPr>
      <w:r>
        <w:rPr>
          <w:rFonts w:ascii="Cambria" w:eastAsia="Cambria" w:hAnsi="Cambria" w:cs="Cambria"/>
          <w:color w:val="000000"/>
          <w:u w:val="single"/>
        </w:rPr>
        <w:t>Dean-Hope Center for Educational and Psychological Services (“DHCEPS” or “CEPS”)</w:t>
      </w:r>
      <w:r>
        <w:rPr>
          <w:rFonts w:ascii="Cambria" w:eastAsia="Cambria" w:hAnsi="Cambria" w:cs="Cambria"/>
          <w:color w:val="000000"/>
        </w:rPr>
        <w:t>: Trainees are expected to keep diligent records and prepare whatever reports the Dean Hope Center requires (See Center Manual). They will also be responsible for arranging and conducting consultations with families, schools, and other professionals and agencies, as needed.</w:t>
      </w:r>
    </w:p>
    <w:p w14:paraId="00000331" w14:textId="77777777" w:rsidR="00CD3527" w:rsidRDefault="007F4AED">
      <w:pPr>
        <w:numPr>
          <w:ilvl w:val="0"/>
          <w:numId w:val="33"/>
        </w:numPr>
        <w:pBdr>
          <w:top w:val="nil"/>
          <w:left w:val="nil"/>
          <w:bottom w:val="nil"/>
          <w:right w:val="nil"/>
          <w:between w:val="nil"/>
        </w:pBdr>
        <w:spacing w:after="120"/>
        <w:rPr>
          <w:rFonts w:ascii="Cambria" w:eastAsia="Cambria" w:hAnsi="Cambria" w:cs="Cambria"/>
          <w:color w:val="000000"/>
        </w:rPr>
      </w:pPr>
      <w:r>
        <w:rPr>
          <w:rFonts w:ascii="Cambria" w:eastAsia="Cambria" w:hAnsi="Cambria" w:cs="Cambria"/>
          <w:color w:val="000000"/>
          <w:u w:val="single"/>
        </w:rPr>
        <w:t>Ethical and Professional Issues (CCPX 5030)</w:t>
      </w:r>
      <w:r>
        <w:rPr>
          <w:rFonts w:ascii="Cambria" w:eastAsia="Cambria" w:hAnsi="Cambria" w:cs="Cambria"/>
          <w:color w:val="000000"/>
        </w:rPr>
        <w:t xml:space="preserve"> is the foundational course for learning about ethics, but this focus continues throughout students’ training. Thus, for example, in the second semester course on Clinical Intake/Interviewing (CCPX 5539), students will continue to learn about the ethical principles most relevant to clinical practice. In the first semester of the second year, in the course on Clinical Work with Diverse Populations (CCPX 5036), students will learn about ethical, legal and practice guidelines associated with diversity and working with culturally diverse individuals. In second-year practicum (CCPX 6335) students will learn about ethical and legal issues associated with self-care as a psychologist; and in the third-year course on supervision and consultation (CCPX 6333), students will learn about ethical and legal aspects of providing and receiving these services.  </w:t>
      </w:r>
    </w:p>
    <w:p w14:paraId="00000332" w14:textId="77777777" w:rsidR="00CD3527" w:rsidRDefault="007F4AED">
      <w:pPr>
        <w:numPr>
          <w:ilvl w:val="0"/>
          <w:numId w:val="33"/>
        </w:numPr>
        <w:pBdr>
          <w:top w:val="nil"/>
          <w:left w:val="nil"/>
          <w:bottom w:val="nil"/>
          <w:right w:val="nil"/>
          <w:between w:val="nil"/>
        </w:pBdr>
        <w:spacing w:after="120"/>
        <w:rPr>
          <w:rFonts w:ascii="Cambria" w:eastAsia="Cambria" w:hAnsi="Cambria" w:cs="Cambria"/>
          <w:color w:val="000000"/>
        </w:rPr>
      </w:pPr>
      <w:r>
        <w:rPr>
          <w:rFonts w:ascii="Cambria" w:eastAsia="Cambria" w:hAnsi="Cambria" w:cs="Cambria"/>
          <w:color w:val="000000"/>
          <w:u w:val="single"/>
        </w:rPr>
        <w:t>Research points for working in research labs with advisor (CCPX 4900, 6900, or 5110)</w:t>
      </w:r>
      <w:r>
        <w:rPr>
          <w:rFonts w:ascii="Cambria" w:eastAsia="Cambria" w:hAnsi="Cambria" w:cs="Cambria"/>
          <w:color w:val="000000"/>
        </w:rPr>
        <w:t xml:space="preserve">: Students should sign up for at least five points of these courses through years 1-4 although in any given semester, they are optional. They are variably credited so students can choose how many points they would like to sign up for them (1-3 for 4900/6900 or 0-3 for 5110). However, signing up for 2 (and, even more so, 3) points for these courses on a regular basis will “use up” points and thus, significantly restrict students’ ability to take elective courses in years 2, 3, and 4. Unless your advisor advises you to do otherwise, sign up for CCPX 4900 for one point each semester during the first two years of study; sign up for CCPX 6900 for one point each semester during your third year. In addition to the Independent Study with your advisor, you can take CCPX 5110 Research Apprenticeship offered by your advisor. You can take this course for up to 2 semesters at any point during your studies for 0-3 credits per semester. Please check with your advisor about the specifics and section numbers for 4900, 6900, or 5110.  </w:t>
      </w:r>
    </w:p>
    <w:p w14:paraId="00000333"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 </w:t>
      </w:r>
    </w:p>
    <w:p w14:paraId="00000334" w14:textId="77777777" w:rsidR="00CD3527" w:rsidRDefault="007F4AED">
      <w:pPr>
        <w:numPr>
          <w:ilvl w:val="0"/>
          <w:numId w:val="33"/>
        </w:numPr>
        <w:pBdr>
          <w:top w:val="nil"/>
          <w:left w:val="nil"/>
          <w:bottom w:val="nil"/>
          <w:right w:val="nil"/>
          <w:between w:val="nil"/>
        </w:pBdr>
        <w:spacing w:after="120"/>
        <w:rPr>
          <w:rFonts w:ascii="Cambria" w:eastAsia="Cambria" w:hAnsi="Cambria" w:cs="Cambria"/>
          <w:color w:val="000000"/>
        </w:rPr>
      </w:pPr>
      <w:r>
        <w:rPr>
          <w:rFonts w:ascii="Cambria" w:eastAsia="Cambria" w:hAnsi="Cambria" w:cs="Cambria"/>
          <w:color w:val="000000"/>
          <w:u w:val="single"/>
        </w:rPr>
        <w:t>Colloquium (CCPX 5610)</w:t>
      </w:r>
      <w:r>
        <w:rPr>
          <w:rFonts w:ascii="Cambria" w:eastAsia="Cambria" w:hAnsi="Cambria" w:cs="Cambria"/>
          <w:color w:val="000000"/>
        </w:rPr>
        <w:t xml:space="preserve"> is a full-year course. Attendance is mandatory. Students sign up for this course each of their first three years in the program and can sign up for 0 or 1 point. </w:t>
      </w:r>
    </w:p>
    <w:p w14:paraId="00000335" w14:textId="77777777" w:rsidR="00CD3527" w:rsidRDefault="007F4AED">
      <w:pPr>
        <w:numPr>
          <w:ilvl w:val="0"/>
          <w:numId w:val="33"/>
        </w:numPr>
        <w:pBdr>
          <w:top w:val="nil"/>
          <w:left w:val="nil"/>
          <w:bottom w:val="nil"/>
          <w:right w:val="nil"/>
          <w:between w:val="nil"/>
        </w:pBdr>
        <w:spacing w:after="120"/>
        <w:rPr>
          <w:rFonts w:ascii="Cambria" w:eastAsia="Cambria" w:hAnsi="Cambria" w:cs="Cambria"/>
          <w:color w:val="000000"/>
        </w:rPr>
      </w:pPr>
      <w:r>
        <w:rPr>
          <w:rFonts w:ascii="Cambria" w:eastAsia="Cambria" w:hAnsi="Cambria" w:cs="Cambria"/>
          <w:color w:val="000000"/>
          <w:u w:val="single"/>
        </w:rPr>
        <w:t>Case Conference (CCPX 5630)</w:t>
      </w:r>
      <w:r>
        <w:rPr>
          <w:rFonts w:ascii="Cambria" w:eastAsia="Cambria" w:hAnsi="Cambria" w:cs="Cambria"/>
          <w:color w:val="000000"/>
        </w:rPr>
        <w:t>, Wednesdays 3:00-4:40, is required each semester beginning in the spring semester of a student’s 1</w:t>
      </w:r>
      <w:r>
        <w:rPr>
          <w:rFonts w:ascii="Cambria" w:eastAsia="Cambria" w:hAnsi="Cambria" w:cs="Cambria"/>
          <w:color w:val="000000"/>
          <w:vertAlign w:val="superscript"/>
        </w:rPr>
        <w:t>st</w:t>
      </w:r>
      <w:r>
        <w:rPr>
          <w:rFonts w:ascii="Cambria" w:eastAsia="Cambria" w:hAnsi="Cambria" w:cs="Cambria"/>
          <w:color w:val="000000"/>
        </w:rPr>
        <w:t xml:space="preserve"> year in the program. Students sign up for this course each of their first three years in the program and can sign up for 0 or 1 point. </w:t>
      </w:r>
    </w:p>
    <w:p w14:paraId="00000336" w14:textId="77777777" w:rsidR="00CD3527" w:rsidRDefault="007F4AED">
      <w:pPr>
        <w:numPr>
          <w:ilvl w:val="0"/>
          <w:numId w:val="33"/>
        </w:numPr>
        <w:pBdr>
          <w:top w:val="nil"/>
          <w:left w:val="nil"/>
          <w:bottom w:val="nil"/>
          <w:right w:val="nil"/>
          <w:between w:val="nil"/>
        </w:pBdr>
        <w:spacing w:after="120"/>
        <w:rPr>
          <w:rFonts w:ascii="Cambria" w:eastAsia="Cambria" w:hAnsi="Cambria" w:cs="Cambria"/>
          <w:color w:val="000000"/>
        </w:rPr>
      </w:pPr>
      <w:r>
        <w:rPr>
          <w:rFonts w:ascii="Cambria" w:eastAsia="Cambria" w:hAnsi="Cambria" w:cs="Cambria"/>
          <w:color w:val="000000"/>
        </w:rPr>
        <w:t xml:space="preserve">Begin to log clinical hours in Time2Track.  The program has an account with the logging software, Time2Track.  You can get the appropriate license keys from </w:t>
      </w:r>
      <w:r>
        <w:rPr>
          <w:rFonts w:ascii="Cambria" w:eastAsia="Cambria" w:hAnsi="Cambria" w:cs="Cambria"/>
          <w:color w:val="000000"/>
        </w:rPr>
        <w:lastRenderedPageBreak/>
        <w:t>Rebecca Shulevitz. You can learn more about how to log hours appropriately in Time2Track here.</w:t>
      </w:r>
    </w:p>
    <w:p w14:paraId="00000338" w14:textId="07B96027" w:rsidR="00CD3527" w:rsidRDefault="009052E7">
      <w:pPr>
        <w:spacing w:after="120"/>
        <w:rPr>
          <w:rFonts w:ascii="Cambria" w:eastAsia="Cambria" w:hAnsi="Cambria" w:cs="Cambria"/>
        </w:rPr>
      </w:pPr>
      <w:hyperlink r:id="rId60" w:history="1">
        <w:r w:rsidR="009C1A5E" w:rsidRPr="009403C1">
          <w:rPr>
            <w:rStyle w:val="Hyperlink"/>
            <w:rFonts w:ascii="Cambria" w:eastAsia="Cambria" w:hAnsi="Cambria" w:cs="Cambria"/>
          </w:rPr>
          <w:t>https://help.liaisonedu.com/Time2Track_Help_Center/Trainees/Trainees_with_Group_Accounts/Getting_Started_with_Your_Time2Track_Account/00_Trainees_Group</w:t>
        </w:r>
      </w:hyperlink>
    </w:p>
    <w:p w14:paraId="00000339" w14:textId="77777777" w:rsidR="00CD3527" w:rsidRDefault="00CD3527">
      <w:pPr>
        <w:spacing w:after="120"/>
        <w:rPr>
          <w:rFonts w:ascii="Cambria" w:eastAsia="Cambria" w:hAnsi="Cambria" w:cs="Cambria"/>
        </w:rPr>
      </w:pPr>
    </w:p>
    <w:p w14:paraId="0000033A" w14:textId="77777777" w:rsidR="00CD3527" w:rsidRDefault="009052E7">
      <w:pPr>
        <w:spacing w:after="120"/>
        <w:rPr>
          <w:rFonts w:ascii="Cambria" w:eastAsia="Cambria" w:hAnsi="Cambria" w:cs="Cambria"/>
        </w:rPr>
      </w:pPr>
      <w:hyperlink r:id="rId61">
        <w:r w:rsidR="007F4AED">
          <w:rPr>
            <w:rFonts w:ascii="Cambria" w:eastAsia="Cambria" w:hAnsi="Cambria" w:cs="Cambria"/>
            <w:color w:val="1155CC"/>
            <w:u w:val="single"/>
          </w:rPr>
          <w:t>https://help.liaisonedu.com/Time2Track_Help_Center/Trainees/Trainees_with_Individual_Accounts</w:t>
        </w:r>
      </w:hyperlink>
    </w:p>
    <w:p w14:paraId="0000033B" w14:textId="77777777" w:rsidR="00CD3527" w:rsidRDefault="00CD3527">
      <w:pPr>
        <w:pBdr>
          <w:top w:val="nil"/>
          <w:left w:val="nil"/>
          <w:bottom w:val="nil"/>
          <w:right w:val="nil"/>
          <w:between w:val="nil"/>
        </w:pBdr>
        <w:spacing w:after="120"/>
        <w:ind w:left="360"/>
        <w:rPr>
          <w:rFonts w:ascii="Cambria" w:eastAsia="Cambria" w:hAnsi="Cambria" w:cs="Cambria"/>
        </w:rPr>
      </w:pPr>
    </w:p>
    <w:p w14:paraId="0000033C" w14:textId="77777777" w:rsidR="00CD3527" w:rsidRDefault="00CD3527">
      <w:pPr>
        <w:pBdr>
          <w:top w:val="nil"/>
          <w:left w:val="nil"/>
          <w:bottom w:val="nil"/>
          <w:right w:val="nil"/>
          <w:between w:val="nil"/>
        </w:pBdr>
        <w:spacing w:after="120"/>
        <w:rPr>
          <w:rFonts w:ascii="Cambria" w:eastAsia="Cambria" w:hAnsi="Cambria" w:cs="Cambria"/>
          <w:color w:val="000000"/>
        </w:rPr>
      </w:pPr>
    </w:p>
    <w:p w14:paraId="0000033D" w14:textId="77777777" w:rsidR="00CD3527" w:rsidRDefault="00CD3527">
      <w:pPr>
        <w:pBdr>
          <w:top w:val="nil"/>
          <w:left w:val="nil"/>
          <w:bottom w:val="nil"/>
          <w:right w:val="nil"/>
          <w:between w:val="nil"/>
        </w:pBdr>
        <w:spacing w:after="120"/>
        <w:ind w:left="360"/>
        <w:rPr>
          <w:rFonts w:ascii="Cambria" w:eastAsia="Cambria" w:hAnsi="Cambria" w:cs="Cambria"/>
          <w:color w:val="000000"/>
        </w:rPr>
      </w:pPr>
    </w:p>
    <w:p w14:paraId="0000033E" w14:textId="77777777" w:rsidR="00CD3527" w:rsidRDefault="00CD3527">
      <w:pPr>
        <w:pBdr>
          <w:top w:val="nil"/>
          <w:left w:val="nil"/>
          <w:bottom w:val="nil"/>
          <w:right w:val="nil"/>
          <w:between w:val="nil"/>
        </w:pBdr>
        <w:rPr>
          <w:rFonts w:ascii="Cambria" w:eastAsia="Cambria" w:hAnsi="Cambria" w:cs="Cambria"/>
          <w:color w:val="000000"/>
        </w:rPr>
      </w:pPr>
    </w:p>
    <w:p w14:paraId="0000033F" w14:textId="77777777" w:rsidR="00CD3527" w:rsidRDefault="00CD3527">
      <w:pPr>
        <w:pStyle w:val="Heading2"/>
      </w:pPr>
      <w:bookmarkStart w:id="43" w:name="_heading=h.p9waw8h8e44a" w:colFirst="0" w:colLast="0"/>
      <w:bookmarkEnd w:id="43"/>
    </w:p>
    <w:p w14:paraId="00000340" w14:textId="77777777" w:rsidR="00CD3527" w:rsidRDefault="00CD3527"/>
    <w:p w14:paraId="00000341" w14:textId="77777777" w:rsidR="00CD3527" w:rsidRDefault="00CD3527"/>
    <w:p w14:paraId="00000342" w14:textId="77777777" w:rsidR="00CD3527" w:rsidRDefault="00CD3527"/>
    <w:p w14:paraId="00000343" w14:textId="77777777" w:rsidR="00CD3527" w:rsidRDefault="00CD3527"/>
    <w:p w14:paraId="00000344" w14:textId="77777777" w:rsidR="00CD3527" w:rsidRDefault="00CD3527"/>
    <w:p w14:paraId="00000345" w14:textId="77777777" w:rsidR="00CD3527" w:rsidRDefault="00CD3527"/>
    <w:p w14:paraId="00000346" w14:textId="77777777" w:rsidR="00CD3527" w:rsidRDefault="00CD3527"/>
    <w:p w14:paraId="00000347" w14:textId="77777777" w:rsidR="00CD3527" w:rsidRDefault="00CD3527"/>
    <w:p w14:paraId="00000348" w14:textId="77777777" w:rsidR="00CD3527" w:rsidRDefault="00CD3527"/>
    <w:p w14:paraId="00000349" w14:textId="77777777" w:rsidR="00CD3527" w:rsidRDefault="00CD3527"/>
    <w:p w14:paraId="0000034A" w14:textId="77777777" w:rsidR="00CD3527" w:rsidRDefault="00CD3527"/>
    <w:p w14:paraId="0000034B" w14:textId="77777777" w:rsidR="00CD3527" w:rsidRDefault="00CD3527"/>
    <w:p w14:paraId="0000034C" w14:textId="77777777" w:rsidR="00CD3527" w:rsidRDefault="00CD3527"/>
    <w:p w14:paraId="0000034D" w14:textId="77777777" w:rsidR="00CD3527" w:rsidRDefault="00CD3527"/>
    <w:p w14:paraId="1B986A7B" w14:textId="77777777" w:rsidR="00923014" w:rsidRDefault="00923014">
      <w:pPr>
        <w:rPr>
          <w:rFonts w:ascii="Cambria" w:eastAsia="Cambria" w:hAnsi="Cambria" w:cs="Cambria"/>
          <w:b/>
          <w:i/>
          <w:color w:val="000000"/>
          <w:sz w:val="28"/>
          <w:szCs w:val="28"/>
        </w:rPr>
      </w:pPr>
      <w:bookmarkStart w:id="44" w:name="_heading=h.1v1yuxt" w:colFirst="0" w:colLast="0"/>
      <w:bookmarkEnd w:id="44"/>
      <w:r>
        <w:br w:type="page"/>
      </w:r>
    </w:p>
    <w:p w14:paraId="0000034E" w14:textId="2EA8C4F3" w:rsidR="00CD3527" w:rsidRDefault="007F4AED">
      <w:pPr>
        <w:pStyle w:val="Heading2"/>
      </w:pPr>
      <w:r>
        <w:lastRenderedPageBreak/>
        <w:t>Second Year</w:t>
      </w:r>
    </w:p>
    <w:p w14:paraId="0000034F" w14:textId="77777777" w:rsidR="00CD3527" w:rsidRDefault="007F4AED">
      <w:pPr>
        <w:pStyle w:val="Heading3"/>
      </w:pPr>
      <w:bookmarkStart w:id="45" w:name="_heading=h.4f1mdlm" w:colFirst="0" w:colLast="0"/>
      <w:bookmarkEnd w:id="45"/>
      <w:r>
        <w:t>Fall Semester</w:t>
      </w:r>
    </w:p>
    <w:p w14:paraId="00000350" w14:textId="77777777" w:rsidR="00CD3527" w:rsidRDefault="00CD3527">
      <w:pPr>
        <w:pBdr>
          <w:top w:val="nil"/>
          <w:left w:val="nil"/>
          <w:bottom w:val="nil"/>
          <w:right w:val="nil"/>
          <w:between w:val="nil"/>
        </w:pBdr>
        <w:rPr>
          <w:rFonts w:ascii="Cambria" w:eastAsia="Cambria" w:hAnsi="Cambria" w:cs="Cambria"/>
          <w:color w:val="000000"/>
        </w:rPr>
      </w:pPr>
    </w:p>
    <w:tbl>
      <w:tblPr>
        <w:tblStyle w:val="a3"/>
        <w:tblW w:w="90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901"/>
        <w:gridCol w:w="1440"/>
        <w:gridCol w:w="2070"/>
        <w:gridCol w:w="648"/>
      </w:tblGrid>
      <w:tr w:rsidR="00CD3527" w14:paraId="0414828A" w14:textId="77777777">
        <w:trPr>
          <w:trHeight w:val="540"/>
        </w:trPr>
        <w:tc>
          <w:tcPr>
            <w:tcW w:w="4901" w:type="dxa"/>
            <w:vAlign w:val="center"/>
          </w:tcPr>
          <w:p w14:paraId="00000351"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HUDM 5123 Linear Models</w:t>
            </w:r>
          </w:p>
        </w:tc>
        <w:tc>
          <w:tcPr>
            <w:tcW w:w="1440" w:type="dxa"/>
            <w:vAlign w:val="center"/>
          </w:tcPr>
          <w:p w14:paraId="00000352"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Keller</w:t>
            </w:r>
          </w:p>
        </w:tc>
        <w:tc>
          <w:tcPr>
            <w:tcW w:w="2070" w:type="dxa"/>
            <w:vAlign w:val="center"/>
          </w:tcPr>
          <w:p w14:paraId="00000353"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M &amp; R </w:t>
            </w:r>
            <w:r>
              <w:rPr>
                <w:rFonts w:ascii="Cambria" w:eastAsia="Cambria" w:hAnsi="Cambria" w:cs="Cambria"/>
              </w:rPr>
              <w:t>3</w:t>
            </w:r>
            <w:r>
              <w:rPr>
                <w:rFonts w:ascii="Cambria" w:eastAsia="Cambria" w:hAnsi="Cambria" w:cs="Cambria"/>
                <w:color w:val="000000"/>
              </w:rPr>
              <w:t>:</w:t>
            </w:r>
            <w:r>
              <w:rPr>
                <w:rFonts w:ascii="Cambria" w:eastAsia="Cambria" w:hAnsi="Cambria" w:cs="Cambria"/>
              </w:rPr>
              <w:t>00-4:40</w:t>
            </w:r>
          </w:p>
        </w:tc>
        <w:tc>
          <w:tcPr>
            <w:tcW w:w="648" w:type="dxa"/>
            <w:vAlign w:val="center"/>
          </w:tcPr>
          <w:p w14:paraId="00000354" w14:textId="77777777" w:rsidR="00CD3527" w:rsidRDefault="007F4AED">
            <w:p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3</w:t>
            </w:r>
          </w:p>
        </w:tc>
      </w:tr>
      <w:tr w:rsidR="00CD3527" w14:paraId="21E09791" w14:textId="77777777">
        <w:trPr>
          <w:trHeight w:val="540"/>
        </w:trPr>
        <w:tc>
          <w:tcPr>
            <w:tcW w:w="4901" w:type="dxa"/>
            <w:vAlign w:val="center"/>
          </w:tcPr>
          <w:p w14:paraId="00000355"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5038 Cognitive, Behavioral and Interpersonal Therapies (IPT)</w:t>
            </w:r>
          </w:p>
        </w:tc>
        <w:tc>
          <w:tcPr>
            <w:tcW w:w="1440" w:type="dxa"/>
            <w:vAlign w:val="center"/>
          </w:tcPr>
          <w:p w14:paraId="00000356"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Verdeli</w:t>
            </w:r>
          </w:p>
        </w:tc>
        <w:tc>
          <w:tcPr>
            <w:tcW w:w="2070" w:type="dxa"/>
            <w:vAlign w:val="center"/>
          </w:tcPr>
          <w:p w14:paraId="00000357"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W 5:10-6:50 </w:t>
            </w:r>
          </w:p>
        </w:tc>
        <w:tc>
          <w:tcPr>
            <w:tcW w:w="648" w:type="dxa"/>
            <w:vAlign w:val="center"/>
          </w:tcPr>
          <w:p w14:paraId="00000358" w14:textId="77777777" w:rsidR="00CD3527" w:rsidRDefault="007F4AED">
            <w:p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3</w:t>
            </w:r>
          </w:p>
        </w:tc>
      </w:tr>
      <w:tr w:rsidR="00CD3527" w14:paraId="40234854" w14:textId="77777777">
        <w:trPr>
          <w:trHeight w:val="540"/>
        </w:trPr>
        <w:tc>
          <w:tcPr>
            <w:tcW w:w="4901" w:type="dxa"/>
            <w:vAlign w:val="center"/>
          </w:tcPr>
          <w:p w14:paraId="00000359"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5036 Clinical Work with Diverse Populations</w:t>
            </w:r>
          </w:p>
        </w:tc>
        <w:tc>
          <w:tcPr>
            <w:tcW w:w="1440" w:type="dxa"/>
            <w:vAlign w:val="center"/>
          </w:tcPr>
          <w:p w14:paraId="0000035A"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Rosa</w:t>
            </w:r>
          </w:p>
        </w:tc>
        <w:tc>
          <w:tcPr>
            <w:tcW w:w="2070" w:type="dxa"/>
            <w:vAlign w:val="center"/>
          </w:tcPr>
          <w:p w14:paraId="0000035B"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T </w:t>
            </w:r>
            <w:r>
              <w:rPr>
                <w:rFonts w:ascii="Cambria" w:eastAsia="Cambria" w:hAnsi="Cambria" w:cs="Cambria"/>
              </w:rPr>
              <w:t>1</w:t>
            </w:r>
            <w:r>
              <w:rPr>
                <w:rFonts w:ascii="Cambria" w:eastAsia="Cambria" w:hAnsi="Cambria" w:cs="Cambria"/>
                <w:color w:val="000000"/>
              </w:rPr>
              <w:t>:00-2:40</w:t>
            </w:r>
          </w:p>
        </w:tc>
        <w:tc>
          <w:tcPr>
            <w:tcW w:w="648" w:type="dxa"/>
            <w:vAlign w:val="center"/>
          </w:tcPr>
          <w:p w14:paraId="0000035C" w14:textId="77777777" w:rsidR="00CD3527" w:rsidRDefault="007F4AED">
            <w:p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3</w:t>
            </w:r>
          </w:p>
        </w:tc>
      </w:tr>
      <w:tr w:rsidR="00CD3527" w14:paraId="249A9044" w14:textId="77777777">
        <w:trPr>
          <w:trHeight w:val="540"/>
        </w:trPr>
        <w:tc>
          <w:tcPr>
            <w:tcW w:w="4901" w:type="dxa"/>
            <w:vAlign w:val="center"/>
          </w:tcPr>
          <w:p w14:paraId="0000035D"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6335.01 Practicum in Clinical Intervention</w:t>
            </w:r>
          </w:p>
        </w:tc>
        <w:tc>
          <w:tcPr>
            <w:tcW w:w="1440" w:type="dxa"/>
            <w:vAlign w:val="center"/>
          </w:tcPr>
          <w:p w14:paraId="0000035E"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rPr>
              <w:t>Farber</w:t>
            </w:r>
          </w:p>
        </w:tc>
        <w:tc>
          <w:tcPr>
            <w:tcW w:w="2070" w:type="dxa"/>
            <w:vAlign w:val="center"/>
          </w:tcPr>
          <w:p w14:paraId="0000035F"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T 11:00-12:40</w:t>
            </w:r>
          </w:p>
        </w:tc>
        <w:tc>
          <w:tcPr>
            <w:tcW w:w="648" w:type="dxa"/>
            <w:vAlign w:val="center"/>
          </w:tcPr>
          <w:p w14:paraId="00000360" w14:textId="77777777" w:rsidR="00CD3527" w:rsidRDefault="007F4AED">
            <w:p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3</w:t>
            </w:r>
          </w:p>
        </w:tc>
      </w:tr>
      <w:tr w:rsidR="00CD3527" w14:paraId="589D3AB2" w14:textId="77777777">
        <w:trPr>
          <w:trHeight w:val="540"/>
        </w:trPr>
        <w:tc>
          <w:tcPr>
            <w:tcW w:w="4901" w:type="dxa"/>
            <w:vAlign w:val="center"/>
          </w:tcPr>
          <w:p w14:paraId="00000361"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Rotation (one of the following):</w:t>
            </w:r>
          </w:p>
        </w:tc>
        <w:tc>
          <w:tcPr>
            <w:tcW w:w="1440" w:type="dxa"/>
            <w:vAlign w:val="center"/>
          </w:tcPr>
          <w:p w14:paraId="00000362" w14:textId="77777777" w:rsidR="00CD3527" w:rsidRDefault="00CD3527">
            <w:pPr>
              <w:pBdr>
                <w:top w:val="nil"/>
                <w:left w:val="nil"/>
                <w:bottom w:val="nil"/>
                <w:right w:val="nil"/>
                <w:between w:val="nil"/>
              </w:pBdr>
              <w:rPr>
                <w:rFonts w:ascii="Cambria" w:eastAsia="Cambria" w:hAnsi="Cambria" w:cs="Cambria"/>
                <w:color w:val="000000"/>
              </w:rPr>
            </w:pPr>
          </w:p>
        </w:tc>
        <w:tc>
          <w:tcPr>
            <w:tcW w:w="2070" w:type="dxa"/>
            <w:vAlign w:val="center"/>
          </w:tcPr>
          <w:p w14:paraId="00000363" w14:textId="77777777" w:rsidR="00CD3527" w:rsidRDefault="00CD3527">
            <w:pPr>
              <w:pBdr>
                <w:top w:val="nil"/>
                <w:left w:val="nil"/>
                <w:bottom w:val="nil"/>
                <w:right w:val="nil"/>
                <w:between w:val="nil"/>
              </w:pBdr>
              <w:rPr>
                <w:rFonts w:ascii="Cambria" w:eastAsia="Cambria" w:hAnsi="Cambria" w:cs="Cambria"/>
                <w:color w:val="000000"/>
              </w:rPr>
            </w:pPr>
          </w:p>
        </w:tc>
        <w:tc>
          <w:tcPr>
            <w:tcW w:w="648" w:type="dxa"/>
            <w:vAlign w:val="center"/>
          </w:tcPr>
          <w:p w14:paraId="00000364" w14:textId="77777777" w:rsidR="00CD3527" w:rsidRDefault="007F4AED">
            <w:p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3</w:t>
            </w:r>
          </w:p>
        </w:tc>
      </w:tr>
      <w:tr w:rsidR="00CD3527" w14:paraId="22E1AF22" w14:textId="77777777">
        <w:trPr>
          <w:trHeight w:val="540"/>
        </w:trPr>
        <w:tc>
          <w:tcPr>
            <w:tcW w:w="4901" w:type="dxa"/>
            <w:vAlign w:val="center"/>
          </w:tcPr>
          <w:p w14:paraId="00000365"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6336.04 Advanced Practicum: CBT</w:t>
            </w:r>
          </w:p>
        </w:tc>
        <w:tc>
          <w:tcPr>
            <w:tcW w:w="1440" w:type="dxa"/>
            <w:vAlign w:val="center"/>
          </w:tcPr>
          <w:p w14:paraId="00000366"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Woodruff</w:t>
            </w:r>
          </w:p>
        </w:tc>
        <w:tc>
          <w:tcPr>
            <w:tcW w:w="2070" w:type="dxa"/>
            <w:vAlign w:val="center"/>
          </w:tcPr>
          <w:p w14:paraId="00000367"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R 9:00-10:40</w:t>
            </w:r>
          </w:p>
        </w:tc>
        <w:tc>
          <w:tcPr>
            <w:tcW w:w="648" w:type="dxa"/>
            <w:vAlign w:val="center"/>
          </w:tcPr>
          <w:p w14:paraId="00000368" w14:textId="77777777" w:rsidR="00CD3527" w:rsidRDefault="00CD3527">
            <w:pPr>
              <w:pBdr>
                <w:top w:val="nil"/>
                <w:left w:val="nil"/>
                <w:bottom w:val="nil"/>
                <w:right w:val="nil"/>
                <w:between w:val="nil"/>
              </w:pBdr>
              <w:rPr>
                <w:rFonts w:ascii="Cambria" w:eastAsia="Cambria" w:hAnsi="Cambria" w:cs="Cambria"/>
                <w:color w:val="000000"/>
              </w:rPr>
            </w:pPr>
          </w:p>
        </w:tc>
      </w:tr>
      <w:tr w:rsidR="00CD3527" w14:paraId="4708777B" w14:textId="77777777">
        <w:trPr>
          <w:trHeight w:val="540"/>
        </w:trPr>
        <w:tc>
          <w:tcPr>
            <w:tcW w:w="4901" w:type="dxa"/>
            <w:vAlign w:val="center"/>
          </w:tcPr>
          <w:p w14:paraId="00000369"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6336.02 Advanced Practicum: Introduction to Neuropsychology</w:t>
            </w:r>
          </w:p>
        </w:tc>
        <w:tc>
          <w:tcPr>
            <w:tcW w:w="1440" w:type="dxa"/>
            <w:vAlign w:val="center"/>
          </w:tcPr>
          <w:p w14:paraId="0000036A"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Cole</w:t>
            </w:r>
          </w:p>
        </w:tc>
        <w:tc>
          <w:tcPr>
            <w:tcW w:w="2070" w:type="dxa"/>
            <w:vAlign w:val="center"/>
          </w:tcPr>
          <w:p w14:paraId="0000036B"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W 5:10-6:50</w:t>
            </w:r>
          </w:p>
        </w:tc>
        <w:tc>
          <w:tcPr>
            <w:tcW w:w="648" w:type="dxa"/>
            <w:vAlign w:val="center"/>
          </w:tcPr>
          <w:p w14:paraId="0000036C" w14:textId="77777777" w:rsidR="00CD3527" w:rsidRDefault="00CD3527">
            <w:pPr>
              <w:pBdr>
                <w:top w:val="nil"/>
                <w:left w:val="nil"/>
                <w:bottom w:val="nil"/>
                <w:right w:val="nil"/>
                <w:between w:val="nil"/>
              </w:pBdr>
              <w:rPr>
                <w:rFonts w:ascii="Cambria" w:eastAsia="Cambria" w:hAnsi="Cambria" w:cs="Cambria"/>
                <w:color w:val="000000"/>
              </w:rPr>
            </w:pPr>
          </w:p>
        </w:tc>
      </w:tr>
      <w:tr w:rsidR="00CD3527" w14:paraId="66139B5A" w14:textId="77777777">
        <w:trPr>
          <w:trHeight w:val="540"/>
        </w:trPr>
        <w:tc>
          <w:tcPr>
            <w:tcW w:w="4901" w:type="dxa"/>
            <w:vAlign w:val="center"/>
          </w:tcPr>
          <w:p w14:paraId="00000371"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6336.08 Interpersonal Psychotherapy (IPT)</w:t>
            </w:r>
          </w:p>
        </w:tc>
        <w:tc>
          <w:tcPr>
            <w:tcW w:w="1440" w:type="dxa"/>
            <w:vAlign w:val="center"/>
          </w:tcPr>
          <w:p w14:paraId="00000372"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Iselin</w:t>
            </w:r>
          </w:p>
        </w:tc>
        <w:tc>
          <w:tcPr>
            <w:tcW w:w="2070" w:type="dxa"/>
            <w:vAlign w:val="center"/>
          </w:tcPr>
          <w:p w14:paraId="00000373"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M 9:00 – 10:40</w:t>
            </w:r>
          </w:p>
        </w:tc>
        <w:tc>
          <w:tcPr>
            <w:tcW w:w="648" w:type="dxa"/>
            <w:vAlign w:val="center"/>
          </w:tcPr>
          <w:p w14:paraId="00000374" w14:textId="77777777" w:rsidR="00CD3527" w:rsidRDefault="00CD3527">
            <w:pPr>
              <w:pBdr>
                <w:top w:val="nil"/>
                <w:left w:val="nil"/>
                <w:bottom w:val="nil"/>
                <w:right w:val="nil"/>
                <w:between w:val="nil"/>
              </w:pBdr>
              <w:rPr>
                <w:rFonts w:ascii="Cambria" w:eastAsia="Cambria" w:hAnsi="Cambria" w:cs="Cambria"/>
                <w:color w:val="000000"/>
              </w:rPr>
            </w:pPr>
          </w:p>
        </w:tc>
      </w:tr>
      <w:tr w:rsidR="00CD3527" w14:paraId="193BC874" w14:textId="77777777">
        <w:trPr>
          <w:trHeight w:val="540"/>
        </w:trPr>
        <w:tc>
          <w:tcPr>
            <w:tcW w:w="4901" w:type="dxa"/>
            <w:vAlign w:val="center"/>
          </w:tcPr>
          <w:p w14:paraId="00000375"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5610 Colloquium</w:t>
            </w:r>
          </w:p>
        </w:tc>
        <w:tc>
          <w:tcPr>
            <w:tcW w:w="1440" w:type="dxa"/>
            <w:vAlign w:val="center"/>
          </w:tcPr>
          <w:p w14:paraId="00000376" w14:textId="2505450A" w:rsidR="00CD3527" w:rsidRDefault="00F218AA">
            <w:pPr>
              <w:pBdr>
                <w:top w:val="nil"/>
                <w:left w:val="nil"/>
                <w:bottom w:val="nil"/>
                <w:right w:val="nil"/>
                <w:between w:val="nil"/>
              </w:pBdr>
              <w:rPr>
                <w:rFonts w:ascii="Cambria" w:eastAsia="Cambria" w:hAnsi="Cambria" w:cs="Cambria"/>
                <w:color w:val="000000"/>
              </w:rPr>
            </w:pPr>
            <w:r>
              <w:rPr>
                <w:rFonts w:ascii="Cambria" w:eastAsia="Cambria" w:hAnsi="Cambria" w:cs="Cambria"/>
              </w:rPr>
              <w:t>Gaba</w:t>
            </w:r>
          </w:p>
        </w:tc>
        <w:tc>
          <w:tcPr>
            <w:tcW w:w="2070" w:type="dxa"/>
            <w:vAlign w:val="center"/>
          </w:tcPr>
          <w:p w14:paraId="00000377"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R 11:00-12:40</w:t>
            </w:r>
          </w:p>
        </w:tc>
        <w:tc>
          <w:tcPr>
            <w:tcW w:w="648" w:type="dxa"/>
            <w:vAlign w:val="center"/>
          </w:tcPr>
          <w:p w14:paraId="00000378"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b/>
                <w:color w:val="000000"/>
              </w:rPr>
              <w:t>0-1</w:t>
            </w:r>
          </w:p>
        </w:tc>
      </w:tr>
      <w:tr w:rsidR="00CD3527" w14:paraId="2585CE2D" w14:textId="77777777">
        <w:trPr>
          <w:trHeight w:val="540"/>
        </w:trPr>
        <w:tc>
          <w:tcPr>
            <w:tcW w:w="4901" w:type="dxa"/>
            <w:vAlign w:val="center"/>
          </w:tcPr>
          <w:p w14:paraId="00000379"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5630 Case Conference</w:t>
            </w:r>
          </w:p>
        </w:tc>
        <w:tc>
          <w:tcPr>
            <w:tcW w:w="1440" w:type="dxa"/>
            <w:vAlign w:val="center"/>
          </w:tcPr>
          <w:p w14:paraId="0000037A"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Rosa</w:t>
            </w:r>
          </w:p>
        </w:tc>
        <w:tc>
          <w:tcPr>
            <w:tcW w:w="2070" w:type="dxa"/>
            <w:vAlign w:val="center"/>
          </w:tcPr>
          <w:p w14:paraId="0000037B"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W 3:00-4:40</w:t>
            </w:r>
          </w:p>
        </w:tc>
        <w:tc>
          <w:tcPr>
            <w:tcW w:w="648" w:type="dxa"/>
            <w:vAlign w:val="center"/>
          </w:tcPr>
          <w:p w14:paraId="0000037C"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b/>
                <w:color w:val="000000"/>
              </w:rPr>
              <w:t>0-1</w:t>
            </w:r>
          </w:p>
        </w:tc>
      </w:tr>
      <w:tr w:rsidR="00CD3527" w14:paraId="19436B7E" w14:textId="77777777">
        <w:trPr>
          <w:trHeight w:val="540"/>
        </w:trPr>
        <w:tc>
          <w:tcPr>
            <w:tcW w:w="4901" w:type="dxa"/>
            <w:vAlign w:val="center"/>
          </w:tcPr>
          <w:p w14:paraId="0000037D"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4900 Independent Study (look up particular advisor section)</w:t>
            </w:r>
          </w:p>
        </w:tc>
        <w:tc>
          <w:tcPr>
            <w:tcW w:w="1440" w:type="dxa"/>
            <w:vAlign w:val="center"/>
          </w:tcPr>
          <w:p w14:paraId="0000037E"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Faculty</w:t>
            </w:r>
          </w:p>
        </w:tc>
        <w:tc>
          <w:tcPr>
            <w:tcW w:w="2070" w:type="dxa"/>
            <w:vAlign w:val="center"/>
          </w:tcPr>
          <w:p w14:paraId="0000037F" w14:textId="77777777" w:rsidR="00CD3527" w:rsidRDefault="00CD3527">
            <w:pPr>
              <w:pBdr>
                <w:top w:val="nil"/>
                <w:left w:val="nil"/>
                <w:bottom w:val="nil"/>
                <w:right w:val="nil"/>
                <w:between w:val="nil"/>
              </w:pBdr>
              <w:rPr>
                <w:rFonts w:ascii="Cambria" w:eastAsia="Cambria" w:hAnsi="Cambria" w:cs="Cambria"/>
                <w:color w:val="000000"/>
              </w:rPr>
            </w:pPr>
          </w:p>
        </w:tc>
        <w:tc>
          <w:tcPr>
            <w:tcW w:w="648" w:type="dxa"/>
            <w:vAlign w:val="center"/>
          </w:tcPr>
          <w:p w14:paraId="00000380"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1-3</w:t>
            </w:r>
          </w:p>
        </w:tc>
      </w:tr>
      <w:tr w:rsidR="00CD3527" w14:paraId="4A7F7DC4" w14:textId="77777777">
        <w:trPr>
          <w:trHeight w:val="540"/>
        </w:trPr>
        <w:tc>
          <w:tcPr>
            <w:tcW w:w="4901" w:type="dxa"/>
            <w:vAlign w:val="center"/>
          </w:tcPr>
          <w:p w14:paraId="00000381"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5110 Research Apprenticeship (look up particular advisor section)</w:t>
            </w:r>
          </w:p>
        </w:tc>
        <w:tc>
          <w:tcPr>
            <w:tcW w:w="1440" w:type="dxa"/>
            <w:vAlign w:val="center"/>
          </w:tcPr>
          <w:p w14:paraId="00000382"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Faculty</w:t>
            </w:r>
          </w:p>
        </w:tc>
        <w:tc>
          <w:tcPr>
            <w:tcW w:w="2070" w:type="dxa"/>
            <w:vAlign w:val="center"/>
          </w:tcPr>
          <w:p w14:paraId="00000383" w14:textId="77777777" w:rsidR="00CD3527" w:rsidRDefault="00CD3527">
            <w:pPr>
              <w:pBdr>
                <w:top w:val="nil"/>
                <w:left w:val="nil"/>
                <w:bottom w:val="nil"/>
                <w:right w:val="nil"/>
                <w:between w:val="nil"/>
              </w:pBdr>
              <w:rPr>
                <w:rFonts w:ascii="Cambria" w:eastAsia="Cambria" w:hAnsi="Cambria" w:cs="Cambria"/>
                <w:color w:val="000000"/>
              </w:rPr>
            </w:pPr>
          </w:p>
        </w:tc>
        <w:tc>
          <w:tcPr>
            <w:tcW w:w="648" w:type="dxa"/>
            <w:vAlign w:val="center"/>
          </w:tcPr>
          <w:p w14:paraId="00000384"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0-3</w:t>
            </w:r>
          </w:p>
        </w:tc>
      </w:tr>
      <w:tr w:rsidR="00CD3527" w14:paraId="18089C80" w14:textId="77777777">
        <w:trPr>
          <w:trHeight w:val="540"/>
        </w:trPr>
        <w:tc>
          <w:tcPr>
            <w:tcW w:w="4901" w:type="dxa"/>
            <w:vAlign w:val="center"/>
          </w:tcPr>
          <w:p w14:paraId="00000385"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b/>
                <w:color w:val="000000"/>
              </w:rPr>
              <w:t xml:space="preserve">TOTAL REQUIRED POINTS </w:t>
            </w:r>
          </w:p>
        </w:tc>
        <w:tc>
          <w:tcPr>
            <w:tcW w:w="1440" w:type="dxa"/>
            <w:vAlign w:val="center"/>
          </w:tcPr>
          <w:p w14:paraId="00000386" w14:textId="77777777" w:rsidR="00CD3527" w:rsidRDefault="00CD3527">
            <w:pPr>
              <w:pBdr>
                <w:top w:val="nil"/>
                <w:left w:val="nil"/>
                <w:bottom w:val="nil"/>
                <w:right w:val="nil"/>
                <w:between w:val="nil"/>
              </w:pBdr>
              <w:rPr>
                <w:rFonts w:ascii="Cambria" w:eastAsia="Cambria" w:hAnsi="Cambria" w:cs="Cambria"/>
                <w:color w:val="000000"/>
              </w:rPr>
            </w:pPr>
          </w:p>
        </w:tc>
        <w:tc>
          <w:tcPr>
            <w:tcW w:w="2070" w:type="dxa"/>
            <w:vAlign w:val="center"/>
          </w:tcPr>
          <w:p w14:paraId="00000387" w14:textId="77777777" w:rsidR="00CD3527" w:rsidRDefault="00CD3527">
            <w:pPr>
              <w:pBdr>
                <w:top w:val="nil"/>
                <w:left w:val="nil"/>
                <w:bottom w:val="nil"/>
                <w:right w:val="nil"/>
                <w:between w:val="nil"/>
              </w:pBdr>
              <w:rPr>
                <w:rFonts w:ascii="Cambria" w:eastAsia="Cambria" w:hAnsi="Cambria" w:cs="Cambria"/>
                <w:color w:val="000000"/>
              </w:rPr>
            </w:pPr>
          </w:p>
        </w:tc>
        <w:tc>
          <w:tcPr>
            <w:tcW w:w="648" w:type="dxa"/>
            <w:vAlign w:val="center"/>
          </w:tcPr>
          <w:p w14:paraId="00000388" w14:textId="77777777" w:rsidR="00CD3527" w:rsidRDefault="00CD3527">
            <w:pPr>
              <w:pBdr>
                <w:top w:val="nil"/>
                <w:left w:val="nil"/>
                <w:bottom w:val="nil"/>
                <w:right w:val="nil"/>
                <w:between w:val="nil"/>
              </w:pBdr>
              <w:rPr>
                <w:rFonts w:ascii="Cambria" w:eastAsia="Cambria" w:hAnsi="Cambria" w:cs="Cambria"/>
                <w:b/>
                <w:color w:val="000000"/>
              </w:rPr>
            </w:pPr>
          </w:p>
          <w:p w14:paraId="00000389" w14:textId="77777777" w:rsidR="00CD3527" w:rsidRDefault="007F4AED">
            <w:p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15</w:t>
            </w:r>
          </w:p>
        </w:tc>
      </w:tr>
    </w:tbl>
    <w:p w14:paraId="0000038A" w14:textId="77777777" w:rsidR="00CD3527" w:rsidRDefault="00CD3527">
      <w:pPr>
        <w:pBdr>
          <w:top w:val="nil"/>
          <w:left w:val="nil"/>
          <w:bottom w:val="nil"/>
          <w:right w:val="nil"/>
          <w:between w:val="nil"/>
        </w:pBdr>
        <w:rPr>
          <w:rFonts w:ascii="Cambria" w:eastAsia="Cambria" w:hAnsi="Cambria" w:cs="Cambria"/>
          <w:color w:val="000000"/>
        </w:rPr>
      </w:pPr>
    </w:p>
    <w:p w14:paraId="0000038B" w14:textId="77777777" w:rsidR="00CD3527" w:rsidRDefault="007F4AED">
      <w:pPr>
        <w:pStyle w:val="Heading3"/>
      </w:pPr>
      <w:bookmarkStart w:id="46" w:name="_heading=h.2u6wntf" w:colFirst="0" w:colLast="0"/>
      <w:bookmarkEnd w:id="46"/>
      <w:r>
        <w:t>Spring Semester</w:t>
      </w:r>
    </w:p>
    <w:p w14:paraId="0000038C" w14:textId="77777777" w:rsidR="00CD3527" w:rsidRDefault="00CD3527">
      <w:pPr>
        <w:pBdr>
          <w:top w:val="nil"/>
          <w:left w:val="nil"/>
          <w:bottom w:val="nil"/>
          <w:right w:val="nil"/>
          <w:between w:val="nil"/>
        </w:pBdr>
        <w:rPr>
          <w:rFonts w:ascii="Cambria" w:eastAsia="Cambria" w:hAnsi="Cambria" w:cs="Cambria"/>
          <w:color w:val="000000"/>
        </w:rPr>
      </w:pPr>
    </w:p>
    <w:tbl>
      <w:tblPr>
        <w:tblStyle w:val="a4"/>
        <w:tblW w:w="90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901"/>
        <w:gridCol w:w="1440"/>
        <w:gridCol w:w="2070"/>
        <w:gridCol w:w="648"/>
      </w:tblGrid>
      <w:tr w:rsidR="00CD3527" w14:paraId="1D689B3E" w14:textId="77777777">
        <w:trPr>
          <w:trHeight w:val="540"/>
        </w:trPr>
        <w:tc>
          <w:tcPr>
            <w:tcW w:w="4901" w:type="dxa"/>
            <w:vAlign w:val="center"/>
          </w:tcPr>
          <w:p w14:paraId="0000038D"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5020 Cognition, Emotion, &amp; Culture</w:t>
            </w:r>
          </w:p>
        </w:tc>
        <w:tc>
          <w:tcPr>
            <w:tcW w:w="1440" w:type="dxa"/>
            <w:vAlign w:val="center"/>
          </w:tcPr>
          <w:p w14:paraId="0000038E"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Bonanno</w:t>
            </w:r>
          </w:p>
        </w:tc>
        <w:tc>
          <w:tcPr>
            <w:tcW w:w="2070" w:type="dxa"/>
            <w:vAlign w:val="center"/>
          </w:tcPr>
          <w:p w14:paraId="0000038F"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T 11:00-12:40</w:t>
            </w:r>
          </w:p>
        </w:tc>
        <w:tc>
          <w:tcPr>
            <w:tcW w:w="648" w:type="dxa"/>
            <w:vAlign w:val="center"/>
          </w:tcPr>
          <w:p w14:paraId="00000390" w14:textId="77777777" w:rsidR="00CD3527" w:rsidRDefault="007F4AED">
            <w:p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3</w:t>
            </w:r>
          </w:p>
        </w:tc>
      </w:tr>
      <w:tr w:rsidR="00CD3527" w14:paraId="51184A9A" w14:textId="77777777">
        <w:trPr>
          <w:trHeight w:val="540"/>
        </w:trPr>
        <w:tc>
          <w:tcPr>
            <w:tcW w:w="4901" w:type="dxa"/>
            <w:vAlign w:val="center"/>
          </w:tcPr>
          <w:p w14:paraId="00000391"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6335 Practicum in Clinical Intervention</w:t>
            </w:r>
          </w:p>
        </w:tc>
        <w:tc>
          <w:tcPr>
            <w:tcW w:w="1440" w:type="dxa"/>
            <w:vAlign w:val="center"/>
          </w:tcPr>
          <w:p w14:paraId="00000392"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Farber</w:t>
            </w:r>
          </w:p>
        </w:tc>
        <w:tc>
          <w:tcPr>
            <w:tcW w:w="2070" w:type="dxa"/>
            <w:vAlign w:val="center"/>
          </w:tcPr>
          <w:p w14:paraId="00000393"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T 1:00-2:40  </w:t>
            </w:r>
          </w:p>
        </w:tc>
        <w:tc>
          <w:tcPr>
            <w:tcW w:w="648" w:type="dxa"/>
            <w:vAlign w:val="center"/>
          </w:tcPr>
          <w:p w14:paraId="00000394" w14:textId="77777777" w:rsidR="00CD3527" w:rsidRDefault="007F4AED">
            <w:p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3</w:t>
            </w:r>
          </w:p>
        </w:tc>
      </w:tr>
      <w:tr w:rsidR="00CD3527" w14:paraId="2BF2CED0" w14:textId="77777777">
        <w:trPr>
          <w:trHeight w:val="540"/>
        </w:trPr>
        <w:tc>
          <w:tcPr>
            <w:tcW w:w="4901" w:type="dxa"/>
            <w:vAlign w:val="center"/>
          </w:tcPr>
          <w:p w14:paraId="00000395"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a. BBS 5068   Brain and Behavior I: Communication in the Nervous System </w:t>
            </w:r>
          </w:p>
        </w:tc>
        <w:tc>
          <w:tcPr>
            <w:tcW w:w="1440" w:type="dxa"/>
            <w:vAlign w:val="center"/>
          </w:tcPr>
          <w:p w14:paraId="00000396"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A. Gordon</w:t>
            </w:r>
          </w:p>
        </w:tc>
        <w:tc>
          <w:tcPr>
            <w:tcW w:w="2070" w:type="dxa"/>
            <w:vAlign w:val="center"/>
          </w:tcPr>
          <w:p w14:paraId="00000397"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M 5:10-6:50</w:t>
            </w:r>
          </w:p>
        </w:tc>
        <w:tc>
          <w:tcPr>
            <w:tcW w:w="648" w:type="dxa"/>
            <w:vAlign w:val="center"/>
          </w:tcPr>
          <w:p w14:paraId="00000398" w14:textId="77777777" w:rsidR="00CD3527" w:rsidRDefault="007F4AED">
            <w:p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2</w:t>
            </w:r>
          </w:p>
        </w:tc>
      </w:tr>
      <w:tr w:rsidR="00CD3527" w14:paraId="1CF4C560" w14:textId="77777777">
        <w:trPr>
          <w:trHeight w:val="540"/>
        </w:trPr>
        <w:tc>
          <w:tcPr>
            <w:tcW w:w="4901" w:type="dxa"/>
            <w:vAlign w:val="center"/>
          </w:tcPr>
          <w:p w14:paraId="00000399"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b. BBS 5069   Brain and Behavior II: Perception, Emotion, Memory, &amp; Cognition</w:t>
            </w:r>
          </w:p>
        </w:tc>
        <w:tc>
          <w:tcPr>
            <w:tcW w:w="1440" w:type="dxa"/>
            <w:vAlign w:val="center"/>
          </w:tcPr>
          <w:p w14:paraId="0000039A"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P. Gordon</w:t>
            </w:r>
          </w:p>
        </w:tc>
        <w:tc>
          <w:tcPr>
            <w:tcW w:w="2070" w:type="dxa"/>
            <w:vAlign w:val="center"/>
          </w:tcPr>
          <w:p w14:paraId="0000039B"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M 5:10-6:50</w:t>
            </w:r>
          </w:p>
        </w:tc>
        <w:tc>
          <w:tcPr>
            <w:tcW w:w="648" w:type="dxa"/>
            <w:vAlign w:val="center"/>
          </w:tcPr>
          <w:p w14:paraId="0000039C" w14:textId="77777777" w:rsidR="00CD3527" w:rsidRDefault="007F4AED">
            <w:p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1</w:t>
            </w:r>
          </w:p>
        </w:tc>
      </w:tr>
      <w:tr w:rsidR="00CD3527" w14:paraId="7544B61C" w14:textId="77777777">
        <w:trPr>
          <w:trHeight w:val="540"/>
        </w:trPr>
        <w:tc>
          <w:tcPr>
            <w:tcW w:w="4901" w:type="dxa"/>
            <w:vAlign w:val="center"/>
          </w:tcPr>
          <w:p w14:paraId="0000039D"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5610 Colloquium</w:t>
            </w:r>
          </w:p>
        </w:tc>
        <w:tc>
          <w:tcPr>
            <w:tcW w:w="1440" w:type="dxa"/>
            <w:vAlign w:val="center"/>
          </w:tcPr>
          <w:p w14:paraId="0000039E" w14:textId="56365424" w:rsidR="00CD3527" w:rsidRDefault="00F218AA">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Gaba</w:t>
            </w:r>
          </w:p>
        </w:tc>
        <w:tc>
          <w:tcPr>
            <w:tcW w:w="2070" w:type="dxa"/>
            <w:vAlign w:val="center"/>
          </w:tcPr>
          <w:p w14:paraId="0000039F"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R 11:00-12:40</w:t>
            </w:r>
          </w:p>
        </w:tc>
        <w:tc>
          <w:tcPr>
            <w:tcW w:w="648" w:type="dxa"/>
            <w:vAlign w:val="center"/>
          </w:tcPr>
          <w:p w14:paraId="000003A0"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0-1</w:t>
            </w:r>
          </w:p>
        </w:tc>
      </w:tr>
      <w:tr w:rsidR="00CD3527" w14:paraId="680B3FE3" w14:textId="77777777">
        <w:trPr>
          <w:trHeight w:val="540"/>
        </w:trPr>
        <w:tc>
          <w:tcPr>
            <w:tcW w:w="4901" w:type="dxa"/>
            <w:vAlign w:val="center"/>
          </w:tcPr>
          <w:p w14:paraId="000003A1"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lastRenderedPageBreak/>
              <w:t>CCPX 5630 Case Conference</w:t>
            </w:r>
          </w:p>
        </w:tc>
        <w:tc>
          <w:tcPr>
            <w:tcW w:w="1440" w:type="dxa"/>
            <w:vAlign w:val="center"/>
          </w:tcPr>
          <w:p w14:paraId="000003A2"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Rosa</w:t>
            </w:r>
          </w:p>
        </w:tc>
        <w:tc>
          <w:tcPr>
            <w:tcW w:w="2070" w:type="dxa"/>
            <w:vAlign w:val="center"/>
          </w:tcPr>
          <w:p w14:paraId="000003A3"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W 3:00-4:40</w:t>
            </w:r>
          </w:p>
        </w:tc>
        <w:tc>
          <w:tcPr>
            <w:tcW w:w="648" w:type="dxa"/>
            <w:vAlign w:val="center"/>
          </w:tcPr>
          <w:p w14:paraId="000003A4"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0-1</w:t>
            </w:r>
          </w:p>
        </w:tc>
      </w:tr>
      <w:tr w:rsidR="00CD3527" w14:paraId="129EE114" w14:textId="77777777">
        <w:trPr>
          <w:trHeight w:val="540"/>
        </w:trPr>
        <w:tc>
          <w:tcPr>
            <w:tcW w:w="4901" w:type="dxa"/>
            <w:vAlign w:val="center"/>
          </w:tcPr>
          <w:p w14:paraId="000003A5"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Rotation, one of the following:</w:t>
            </w:r>
          </w:p>
        </w:tc>
        <w:tc>
          <w:tcPr>
            <w:tcW w:w="1440" w:type="dxa"/>
            <w:vAlign w:val="center"/>
          </w:tcPr>
          <w:p w14:paraId="000003A6" w14:textId="77777777" w:rsidR="00CD3527" w:rsidRDefault="00CD3527">
            <w:pPr>
              <w:pBdr>
                <w:top w:val="nil"/>
                <w:left w:val="nil"/>
                <w:bottom w:val="nil"/>
                <w:right w:val="nil"/>
                <w:between w:val="nil"/>
              </w:pBdr>
              <w:rPr>
                <w:rFonts w:ascii="Cambria" w:eastAsia="Cambria" w:hAnsi="Cambria" w:cs="Cambria"/>
                <w:color w:val="000000"/>
              </w:rPr>
            </w:pPr>
          </w:p>
        </w:tc>
        <w:tc>
          <w:tcPr>
            <w:tcW w:w="2070" w:type="dxa"/>
            <w:vAlign w:val="center"/>
          </w:tcPr>
          <w:p w14:paraId="000003A7" w14:textId="77777777" w:rsidR="00CD3527" w:rsidRDefault="00CD3527">
            <w:pPr>
              <w:pBdr>
                <w:top w:val="nil"/>
                <w:left w:val="nil"/>
                <w:bottom w:val="nil"/>
                <w:right w:val="nil"/>
                <w:between w:val="nil"/>
              </w:pBdr>
              <w:rPr>
                <w:rFonts w:ascii="Cambria" w:eastAsia="Cambria" w:hAnsi="Cambria" w:cs="Cambria"/>
                <w:color w:val="000000"/>
              </w:rPr>
            </w:pPr>
          </w:p>
        </w:tc>
        <w:tc>
          <w:tcPr>
            <w:tcW w:w="648" w:type="dxa"/>
            <w:vAlign w:val="center"/>
          </w:tcPr>
          <w:p w14:paraId="000003A8" w14:textId="77777777" w:rsidR="00CD3527" w:rsidRDefault="007F4AED">
            <w:p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3</w:t>
            </w:r>
          </w:p>
        </w:tc>
      </w:tr>
      <w:tr w:rsidR="00CD3527" w14:paraId="742D682C" w14:textId="77777777">
        <w:trPr>
          <w:trHeight w:val="540"/>
        </w:trPr>
        <w:tc>
          <w:tcPr>
            <w:tcW w:w="4901" w:type="dxa"/>
            <w:vAlign w:val="center"/>
          </w:tcPr>
          <w:p w14:paraId="000003A9"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6336.04 Advanced Practicum: DBT</w:t>
            </w:r>
          </w:p>
        </w:tc>
        <w:tc>
          <w:tcPr>
            <w:tcW w:w="1440" w:type="dxa"/>
            <w:vAlign w:val="center"/>
          </w:tcPr>
          <w:p w14:paraId="000003AA"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Watson</w:t>
            </w:r>
          </w:p>
        </w:tc>
        <w:tc>
          <w:tcPr>
            <w:tcW w:w="2070" w:type="dxa"/>
            <w:vAlign w:val="center"/>
          </w:tcPr>
          <w:p w14:paraId="000003AB"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R 9:00-10:40 </w:t>
            </w:r>
          </w:p>
        </w:tc>
        <w:tc>
          <w:tcPr>
            <w:tcW w:w="648" w:type="dxa"/>
            <w:vAlign w:val="center"/>
          </w:tcPr>
          <w:p w14:paraId="000003AC" w14:textId="77777777" w:rsidR="00CD3527" w:rsidRDefault="00CD3527">
            <w:pPr>
              <w:pBdr>
                <w:top w:val="nil"/>
                <w:left w:val="nil"/>
                <w:bottom w:val="nil"/>
                <w:right w:val="nil"/>
                <w:between w:val="nil"/>
              </w:pBdr>
              <w:rPr>
                <w:rFonts w:ascii="Cambria" w:eastAsia="Cambria" w:hAnsi="Cambria" w:cs="Cambria"/>
                <w:color w:val="000000"/>
              </w:rPr>
            </w:pPr>
          </w:p>
        </w:tc>
      </w:tr>
      <w:tr w:rsidR="00CD3527" w14:paraId="0D024AC3" w14:textId="77777777">
        <w:trPr>
          <w:trHeight w:val="540"/>
        </w:trPr>
        <w:tc>
          <w:tcPr>
            <w:tcW w:w="4901" w:type="dxa"/>
            <w:vAlign w:val="center"/>
          </w:tcPr>
          <w:p w14:paraId="000003AD"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6336.02 Advanced Practicum: Introduction to Neuropsychology</w:t>
            </w:r>
          </w:p>
        </w:tc>
        <w:tc>
          <w:tcPr>
            <w:tcW w:w="1440" w:type="dxa"/>
            <w:vAlign w:val="center"/>
          </w:tcPr>
          <w:p w14:paraId="000003AE"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Cole</w:t>
            </w:r>
          </w:p>
        </w:tc>
        <w:tc>
          <w:tcPr>
            <w:tcW w:w="2070" w:type="dxa"/>
            <w:vAlign w:val="center"/>
          </w:tcPr>
          <w:p w14:paraId="000003AF"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W 5:10-6:50</w:t>
            </w:r>
          </w:p>
        </w:tc>
        <w:tc>
          <w:tcPr>
            <w:tcW w:w="648" w:type="dxa"/>
            <w:vAlign w:val="center"/>
          </w:tcPr>
          <w:p w14:paraId="000003B0" w14:textId="77777777" w:rsidR="00CD3527" w:rsidRDefault="00CD3527">
            <w:pPr>
              <w:pBdr>
                <w:top w:val="nil"/>
                <w:left w:val="nil"/>
                <w:bottom w:val="nil"/>
                <w:right w:val="nil"/>
                <w:between w:val="nil"/>
              </w:pBdr>
              <w:rPr>
                <w:rFonts w:ascii="Cambria" w:eastAsia="Cambria" w:hAnsi="Cambria" w:cs="Cambria"/>
                <w:color w:val="000000"/>
              </w:rPr>
            </w:pPr>
          </w:p>
        </w:tc>
      </w:tr>
      <w:tr w:rsidR="00CD3527" w14:paraId="4EDE15B4" w14:textId="77777777">
        <w:trPr>
          <w:trHeight w:val="540"/>
        </w:trPr>
        <w:tc>
          <w:tcPr>
            <w:tcW w:w="4901" w:type="dxa"/>
            <w:vAlign w:val="center"/>
          </w:tcPr>
          <w:p w14:paraId="000003B5"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6336.08 Interpersonal Psychotherapy (IPT)</w:t>
            </w:r>
          </w:p>
        </w:tc>
        <w:tc>
          <w:tcPr>
            <w:tcW w:w="1440" w:type="dxa"/>
            <w:vAlign w:val="center"/>
          </w:tcPr>
          <w:p w14:paraId="000003B6"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Iselin</w:t>
            </w:r>
          </w:p>
        </w:tc>
        <w:tc>
          <w:tcPr>
            <w:tcW w:w="2070" w:type="dxa"/>
            <w:vAlign w:val="center"/>
          </w:tcPr>
          <w:p w14:paraId="000003B7"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M 9:00-10:40</w:t>
            </w:r>
          </w:p>
        </w:tc>
        <w:tc>
          <w:tcPr>
            <w:tcW w:w="648" w:type="dxa"/>
            <w:vAlign w:val="center"/>
          </w:tcPr>
          <w:p w14:paraId="000003B8" w14:textId="77777777" w:rsidR="00CD3527" w:rsidRDefault="00CD3527">
            <w:pPr>
              <w:pBdr>
                <w:top w:val="nil"/>
                <w:left w:val="nil"/>
                <w:bottom w:val="nil"/>
                <w:right w:val="nil"/>
                <w:between w:val="nil"/>
              </w:pBdr>
              <w:rPr>
                <w:rFonts w:ascii="Cambria" w:eastAsia="Cambria" w:hAnsi="Cambria" w:cs="Cambria"/>
                <w:color w:val="000000"/>
              </w:rPr>
            </w:pPr>
          </w:p>
        </w:tc>
      </w:tr>
      <w:tr w:rsidR="00CD3527" w14:paraId="38F36C70" w14:textId="77777777">
        <w:trPr>
          <w:trHeight w:val="540"/>
        </w:trPr>
        <w:tc>
          <w:tcPr>
            <w:tcW w:w="4901" w:type="dxa"/>
            <w:vAlign w:val="center"/>
          </w:tcPr>
          <w:p w14:paraId="000003B9"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4900 Independent Study (look up particular advisor section)</w:t>
            </w:r>
          </w:p>
        </w:tc>
        <w:tc>
          <w:tcPr>
            <w:tcW w:w="1440" w:type="dxa"/>
            <w:vAlign w:val="center"/>
          </w:tcPr>
          <w:p w14:paraId="000003BA"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Faculty</w:t>
            </w:r>
          </w:p>
        </w:tc>
        <w:tc>
          <w:tcPr>
            <w:tcW w:w="2070" w:type="dxa"/>
            <w:vAlign w:val="center"/>
          </w:tcPr>
          <w:p w14:paraId="000003BB" w14:textId="77777777" w:rsidR="00CD3527" w:rsidRDefault="00CD3527">
            <w:pPr>
              <w:pBdr>
                <w:top w:val="nil"/>
                <w:left w:val="nil"/>
                <w:bottom w:val="nil"/>
                <w:right w:val="nil"/>
                <w:between w:val="nil"/>
              </w:pBdr>
              <w:rPr>
                <w:rFonts w:ascii="Cambria" w:eastAsia="Cambria" w:hAnsi="Cambria" w:cs="Cambria"/>
                <w:color w:val="000000"/>
              </w:rPr>
            </w:pPr>
          </w:p>
        </w:tc>
        <w:tc>
          <w:tcPr>
            <w:tcW w:w="648" w:type="dxa"/>
            <w:vAlign w:val="center"/>
          </w:tcPr>
          <w:p w14:paraId="000003BC"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1-3</w:t>
            </w:r>
          </w:p>
        </w:tc>
      </w:tr>
      <w:tr w:rsidR="00CD3527" w14:paraId="6D93DA8E" w14:textId="77777777">
        <w:trPr>
          <w:trHeight w:val="540"/>
        </w:trPr>
        <w:tc>
          <w:tcPr>
            <w:tcW w:w="4901" w:type="dxa"/>
            <w:vAlign w:val="center"/>
          </w:tcPr>
          <w:p w14:paraId="000003BD"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5110 Research Apprenticeship (look up particular advisor section)</w:t>
            </w:r>
          </w:p>
        </w:tc>
        <w:tc>
          <w:tcPr>
            <w:tcW w:w="1440" w:type="dxa"/>
            <w:vAlign w:val="center"/>
          </w:tcPr>
          <w:p w14:paraId="000003BE"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Faculty</w:t>
            </w:r>
          </w:p>
        </w:tc>
        <w:tc>
          <w:tcPr>
            <w:tcW w:w="2070" w:type="dxa"/>
            <w:vAlign w:val="center"/>
          </w:tcPr>
          <w:p w14:paraId="000003BF" w14:textId="77777777" w:rsidR="00CD3527" w:rsidRDefault="00CD3527">
            <w:pPr>
              <w:pBdr>
                <w:top w:val="nil"/>
                <w:left w:val="nil"/>
                <w:bottom w:val="nil"/>
                <w:right w:val="nil"/>
                <w:between w:val="nil"/>
              </w:pBdr>
              <w:rPr>
                <w:rFonts w:ascii="Cambria" w:eastAsia="Cambria" w:hAnsi="Cambria" w:cs="Cambria"/>
                <w:color w:val="000000"/>
              </w:rPr>
            </w:pPr>
          </w:p>
        </w:tc>
        <w:tc>
          <w:tcPr>
            <w:tcW w:w="648" w:type="dxa"/>
            <w:vAlign w:val="center"/>
          </w:tcPr>
          <w:p w14:paraId="000003C0"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0-3</w:t>
            </w:r>
          </w:p>
        </w:tc>
      </w:tr>
      <w:tr w:rsidR="00CD3527" w14:paraId="5C345991" w14:textId="77777777">
        <w:trPr>
          <w:trHeight w:val="540"/>
        </w:trPr>
        <w:tc>
          <w:tcPr>
            <w:tcW w:w="4901" w:type="dxa"/>
            <w:vAlign w:val="center"/>
          </w:tcPr>
          <w:p w14:paraId="000003C1"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b/>
                <w:color w:val="000000"/>
              </w:rPr>
              <w:t>TOTAL REQUIRED POINTS</w:t>
            </w:r>
          </w:p>
        </w:tc>
        <w:tc>
          <w:tcPr>
            <w:tcW w:w="1440" w:type="dxa"/>
            <w:vAlign w:val="center"/>
          </w:tcPr>
          <w:p w14:paraId="000003C2" w14:textId="77777777" w:rsidR="00CD3527" w:rsidRDefault="00CD3527">
            <w:pPr>
              <w:pBdr>
                <w:top w:val="nil"/>
                <w:left w:val="nil"/>
                <w:bottom w:val="nil"/>
                <w:right w:val="nil"/>
                <w:between w:val="nil"/>
              </w:pBdr>
              <w:rPr>
                <w:rFonts w:ascii="Cambria" w:eastAsia="Cambria" w:hAnsi="Cambria" w:cs="Cambria"/>
                <w:color w:val="000000"/>
              </w:rPr>
            </w:pPr>
          </w:p>
        </w:tc>
        <w:tc>
          <w:tcPr>
            <w:tcW w:w="2070" w:type="dxa"/>
            <w:vAlign w:val="center"/>
          </w:tcPr>
          <w:p w14:paraId="000003C3" w14:textId="77777777" w:rsidR="00CD3527" w:rsidRDefault="00CD3527">
            <w:pPr>
              <w:pBdr>
                <w:top w:val="nil"/>
                <w:left w:val="nil"/>
                <w:bottom w:val="nil"/>
                <w:right w:val="nil"/>
                <w:between w:val="nil"/>
              </w:pBdr>
              <w:rPr>
                <w:rFonts w:ascii="Cambria" w:eastAsia="Cambria" w:hAnsi="Cambria" w:cs="Cambria"/>
                <w:color w:val="000000"/>
              </w:rPr>
            </w:pPr>
          </w:p>
        </w:tc>
        <w:tc>
          <w:tcPr>
            <w:tcW w:w="648" w:type="dxa"/>
            <w:vAlign w:val="center"/>
          </w:tcPr>
          <w:p w14:paraId="000003C4"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b/>
                <w:color w:val="000000"/>
              </w:rPr>
              <w:t>12</w:t>
            </w:r>
          </w:p>
        </w:tc>
      </w:tr>
    </w:tbl>
    <w:p w14:paraId="000003C5" w14:textId="77777777" w:rsidR="00CD3527" w:rsidRDefault="00CD3527">
      <w:pPr>
        <w:pStyle w:val="Heading3"/>
      </w:pPr>
      <w:bookmarkStart w:id="47" w:name="_heading=h.19c6y18" w:colFirst="0" w:colLast="0"/>
      <w:bookmarkEnd w:id="47"/>
    </w:p>
    <w:p w14:paraId="000003C6" w14:textId="77777777" w:rsidR="00CD3527" w:rsidRDefault="007F4AED">
      <w:pPr>
        <w:pStyle w:val="Heading3"/>
      </w:pPr>
      <w:r>
        <w:t>Summer A</w:t>
      </w:r>
    </w:p>
    <w:p w14:paraId="000003C7" w14:textId="77777777" w:rsidR="00CD3527" w:rsidRDefault="00CD3527">
      <w:pPr>
        <w:pBdr>
          <w:top w:val="nil"/>
          <w:left w:val="nil"/>
          <w:bottom w:val="nil"/>
          <w:right w:val="nil"/>
          <w:between w:val="nil"/>
        </w:pBdr>
        <w:rPr>
          <w:rFonts w:ascii="Cambria" w:eastAsia="Cambria" w:hAnsi="Cambria" w:cs="Cambria"/>
          <w:color w:val="000000"/>
        </w:rPr>
      </w:pPr>
    </w:p>
    <w:tbl>
      <w:tblPr>
        <w:tblStyle w:val="a5"/>
        <w:tblW w:w="90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901"/>
        <w:gridCol w:w="1440"/>
        <w:gridCol w:w="2070"/>
        <w:gridCol w:w="648"/>
      </w:tblGrid>
      <w:tr w:rsidR="00CD3527" w14:paraId="5F5D03BD" w14:textId="77777777">
        <w:trPr>
          <w:trHeight w:val="540"/>
        </w:trPr>
        <w:tc>
          <w:tcPr>
            <w:tcW w:w="4901" w:type="dxa"/>
            <w:vAlign w:val="center"/>
          </w:tcPr>
          <w:p w14:paraId="000003C8" w14:textId="7D46DC2A" w:rsidR="00CD3527" w:rsidRDefault="00CD3527">
            <w:pPr>
              <w:pBdr>
                <w:top w:val="nil"/>
                <w:left w:val="nil"/>
                <w:bottom w:val="nil"/>
                <w:right w:val="nil"/>
                <w:between w:val="nil"/>
              </w:pBdr>
              <w:rPr>
                <w:rFonts w:ascii="Cambria" w:eastAsia="Cambria" w:hAnsi="Cambria" w:cs="Cambria"/>
                <w:color w:val="000000"/>
              </w:rPr>
            </w:pPr>
          </w:p>
        </w:tc>
        <w:tc>
          <w:tcPr>
            <w:tcW w:w="1440" w:type="dxa"/>
            <w:vAlign w:val="center"/>
          </w:tcPr>
          <w:p w14:paraId="000003C9" w14:textId="22793776" w:rsidR="00CD3527" w:rsidRDefault="00CD3527">
            <w:pPr>
              <w:pBdr>
                <w:top w:val="nil"/>
                <w:left w:val="nil"/>
                <w:bottom w:val="nil"/>
                <w:right w:val="nil"/>
                <w:between w:val="nil"/>
              </w:pBdr>
              <w:rPr>
                <w:rFonts w:ascii="Cambria" w:eastAsia="Cambria" w:hAnsi="Cambria" w:cs="Cambria"/>
                <w:color w:val="000000"/>
              </w:rPr>
            </w:pPr>
          </w:p>
        </w:tc>
        <w:tc>
          <w:tcPr>
            <w:tcW w:w="2070" w:type="dxa"/>
            <w:vAlign w:val="center"/>
          </w:tcPr>
          <w:p w14:paraId="000003CA" w14:textId="1F517B9E" w:rsidR="00CD3527" w:rsidRDefault="00CD3527">
            <w:pPr>
              <w:pBdr>
                <w:top w:val="nil"/>
                <w:left w:val="nil"/>
                <w:bottom w:val="nil"/>
                <w:right w:val="nil"/>
                <w:between w:val="nil"/>
              </w:pBdr>
              <w:rPr>
                <w:rFonts w:ascii="Cambria" w:eastAsia="Cambria" w:hAnsi="Cambria" w:cs="Cambria"/>
                <w:color w:val="000000"/>
              </w:rPr>
            </w:pPr>
          </w:p>
        </w:tc>
        <w:tc>
          <w:tcPr>
            <w:tcW w:w="648" w:type="dxa"/>
            <w:vAlign w:val="center"/>
          </w:tcPr>
          <w:p w14:paraId="000003CB" w14:textId="14001665" w:rsidR="00CD3527" w:rsidRDefault="00CD3527">
            <w:pPr>
              <w:pBdr>
                <w:top w:val="nil"/>
                <w:left w:val="nil"/>
                <w:bottom w:val="nil"/>
                <w:right w:val="nil"/>
                <w:between w:val="nil"/>
              </w:pBdr>
              <w:rPr>
                <w:rFonts w:ascii="Cambria" w:eastAsia="Cambria" w:hAnsi="Cambria" w:cs="Cambria"/>
                <w:b/>
                <w:color w:val="000000"/>
              </w:rPr>
            </w:pPr>
          </w:p>
        </w:tc>
      </w:tr>
      <w:tr w:rsidR="00CD3527" w14:paraId="0E65515D" w14:textId="77777777">
        <w:trPr>
          <w:trHeight w:val="540"/>
        </w:trPr>
        <w:tc>
          <w:tcPr>
            <w:tcW w:w="4901" w:type="dxa"/>
            <w:vAlign w:val="center"/>
          </w:tcPr>
          <w:p w14:paraId="000003CC"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6335 Practicum in Clinical Intervention</w:t>
            </w:r>
          </w:p>
        </w:tc>
        <w:tc>
          <w:tcPr>
            <w:tcW w:w="1440" w:type="dxa"/>
            <w:vAlign w:val="center"/>
          </w:tcPr>
          <w:p w14:paraId="000003CD"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Faculty as above</w:t>
            </w:r>
          </w:p>
        </w:tc>
        <w:tc>
          <w:tcPr>
            <w:tcW w:w="2070" w:type="dxa"/>
            <w:vAlign w:val="center"/>
          </w:tcPr>
          <w:p w14:paraId="000003CE" w14:textId="77777777" w:rsidR="00CD3527" w:rsidRDefault="00CD3527">
            <w:pPr>
              <w:pBdr>
                <w:top w:val="nil"/>
                <w:left w:val="nil"/>
                <w:bottom w:val="nil"/>
                <w:right w:val="nil"/>
                <w:between w:val="nil"/>
              </w:pBdr>
              <w:rPr>
                <w:rFonts w:ascii="Cambria" w:eastAsia="Cambria" w:hAnsi="Cambria" w:cs="Cambria"/>
                <w:color w:val="000000"/>
              </w:rPr>
            </w:pPr>
          </w:p>
        </w:tc>
        <w:tc>
          <w:tcPr>
            <w:tcW w:w="648" w:type="dxa"/>
            <w:vAlign w:val="center"/>
          </w:tcPr>
          <w:p w14:paraId="000003CF"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0-1</w:t>
            </w:r>
          </w:p>
        </w:tc>
      </w:tr>
      <w:tr w:rsidR="00E62CF3" w14:paraId="13ED18E8" w14:textId="77777777">
        <w:trPr>
          <w:trHeight w:val="540"/>
        </w:trPr>
        <w:tc>
          <w:tcPr>
            <w:tcW w:w="4901" w:type="dxa"/>
            <w:vAlign w:val="center"/>
          </w:tcPr>
          <w:p w14:paraId="0E10EBAB" w14:textId="6B2F6B44" w:rsidR="00E62CF3" w:rsidRDefault="00E62CF3">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6335 Practicum in Clinical Intervention</w:t>
            </w:r>
          </w:p>
        </w:tc>
        <w:tc>
          <w:tcPr>
            <w:tcW w:w="1440" w:type="dxa"/>
            <w:vAlign w:val="center"/>
          </w:tcPr>
          <w:p w14:paraId="3A2DB5AB" w14:textId="45274981" w:rsidR="00E62CF3" w:rsidRDefault="00E62CF3">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Faculty as above</w:t>
            </w:r>
          </w:p>
        </w:tc>
        <w:tc>
          <w:tcPr>
            <w:tcW w:w="2070" w:type="dxa"/>
            <w:vAlign w:val="center"/>
          </w:tcPr>
          <w:p w14:paraId="069F43F5" w14:textId="77777777" w:rsidR="00E62CF3" w:rsidRDefault="00E62CF3">
            <w:pPr>
              <w:pBdr>
                <w:top w:val="nil"/>
                <w:left w:val="nil"/>
                <w:bottom w:val="nil"/>
                <w:right w:val="nil"/>
                <w:between w:val="nil"/>
              </w:pBdr>
              <w:rPr>
                <w:rFonts w:ascii="Cambria" w:eastAsia="Cambria" w:hAnsi="Cambria" w:cs="Cambria"/>
                <w:color w:val="000000"/>
              </w:rPr>
            </w:pPr>
          </w:p>
        </w:tc>
        <w:tc>
          <w:tcPr>
            <w:tcW w:w="648" w:type="dxa"/>
            <w:vAlign w:val="center"/>
          </w:tcPr>
          <w:p w14:paraId="26FEB186" w14:textId="24ED54D0" w:rsidR="00E62CF3" w:rsidRDefault="00E62CF3">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0-1</w:t>
            </w:r>
          </w:p>
        </w:tc>
      </w:tr>
      <w:tr w:rsidR="00CD3527" w14:paraId="738E9225" w14:textId="77777777">
        <w:trPr>
          <w:trHeight w:val="540"/>
        </w:trPr>
        <w:tc>
          <w:tcPr>
            <w:tcW w:w="4901" w:type="dxa"/>
            <w:vAlign w:val="center"/>
          </w:tcPr>
          <w:p w14:paraId="000003D4"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b/>
                <w:color w:val="000000"/>
              </w:rPr>
              <w:t xml:space="preserve">TOTAL REQUIRED POINTS </w:t>
            </w:r>
          </w:p>
        </w:tc>
        <w:tc>
          <w:tcPr>
            <w:tcW w:w="1440" w:type="dxa"/>
            <w:vAlign w:val="center"/>
          </w:tcPr>
          <w:p w14:paraId="000003D5" w14:textId="77777777" w:rsidR="00CD3527" w:rsidRDefault="00CD3527">
            <w:pPr>
              <w:pBdr>
                <w:top w:val="nil"/>
                <w:left w:val="nil"/>
                <w:bottom w:val="nil"/>
                <w:right w:val="nil"/>
                <w:between w:val="nil"/>
              </w:pBdr>
              <w:rPr>
                <w:rFonts w:ascii="Cambria" w:eastAsia="Cambria" w:hAnsi="Cambria" w:cs="Cambria"/>
                <w:color w:val="000000"/>
              </w:rPr>
            </w:pPr>
          </w:p>
        </w:tc>
        <w:tc>
          <w:tcPr>
            <w:tcW w:w="2070" w:type="dxa"/>
            <w:vAlign w:val="center"/>
          </w:tcPr>
          <w:p w14:paraId="000003D6" w14:textId="77777777" w:rsidR="00CD3527" w:rsidRDefault="00CD3527">
            <w:pPr>
              <w:pBdr>
                <w:top w:val="nil"/>
                <w:left w:val="nil"/>
                <w:bottom w:val="nil"/>
                <w:right w:val="nil"/>
                <w:between w:val="nil"/>
              </w:pBdr>
              <w:rPr>
                <w:rFonts w:ascii="Cambria" w:eastAsia="Cambria" w:hAnsi="Cambria" w:cs="Cambria"/>
                <w:color w:val="000000"/>
              </w:rPr>
            </w:pPr>
          </w:p>
        </w:tc>
        <w:tc>
          <w:tcPr>
            <w:tcW w:w="648" w:type="dxa"/>
            <w:vAlign w:val="center"/>
          </w:tcPr>
          <w:p w14:paraId="000003D7" w14:textId="6267EACB" w:rsidR="00CD3527" w:rsidRDefault="00E62CF3">
            <w:pPr>
              <w:pBdr>
                <w:top w:val="nil"/>
                <w:left w:val="nil"/>
                <w:bottom w:val="nil"/>
                <w:right w:val="nil"/>
                <w:between w:val="nil"/>
              </w:pBdr>
              <w:rPr>
                <w:rFonts w:ascii="Cambria" w:eastAsia="Cambria" w:hAnsi="Cambria" w:cs="Cambria"/>
                <w:color w:val="000000"/>
              </w:rPr>
            </w:pPr>
            <w:r w:rsidRPr="00B3065A">
              <w:rPr>
                <w:rFonts w:ascii="Cambria" w:eastAsia="Cambria" w:hAnsi="Cambria" w:cs="Cambria"/>
                <w:bCs/>
                <w:color w:val="000000"/>
              </w:rPr>
              <w:t>0</w:t>
            </w:r>
          </w:p>
        </w:tc>
      </w:tr>
    </w:tbl>
    <w:p w14:paraId="000003D8" w14:textId="77777777" w:rsidR="00CD3527" w:rsidRDefault="00CD3527">
      <w:pPr>
        <w:pBdr>
          <w:top w:val="nil"/>
          <w:left w:val="nil"/>
          <w:bottom w:val="nil"/>
          <w:right w:val="nil"/>
          <w:between w:val="nil"/>
        </w:pBdr>
        <w:rPr>
          <w:rFonts w:ascii="Cambria" w:eastAsia="Cambria" w:hAnsi="Cambria" w:cs="Cambria"/>
          <w:color w:val="000000"/>
        </w:rPr>
      </w:pPr>
    </w:p>
    <w:p w14:paraId="000003D9" w14:textId="77777777" w:rsidR="00CD3527" w:rsidRDefault="007F4AED">
      <w:pPr>
        <w:pBdr>
          <w:top w:val="nil"/>
          <w:left w:val="nil"/>
          <w:bottom w:val="nil"/>
          <w:right w:val="nil"/>
          <w:between w:val="nil"/>
        </w:pBdr>
        <w:rPr>
          <w:rFonts w:ascii="Cambria" w:eastAsia="Cambria" w:hAnsi="Cambria" w:cs="Cambria"/>
          <w:color w:val="000000"/>
          <w:u w:val="single"/>
        </w:rPr>
      </w:pPr>
      <w:r>
        <w:rPr>
          <w:rFonts w:ascii="Cambria" w:eastAsia="Cambria" w:hAnsi="Cambria" w:cs="Cambria"/>
          <w:color w:val="000000"/>
          <w:u w:val="single"/>
        </w:rPr>
        <w:t>Additional Second-Year Requirements and Information</w:t>
      </w:r>
    </w:p>
    <w:p w14:paraId="000003DA" w14:textId="77777777" w:rsidR="00CD3527" w:rsidRDefault="00CD3527">
      <w:pPr>
        <w:pBdr>
          <w:top w:val="nil"/>
          <w:left w:val="nil"/>
          <w:bottom w:val="nil"/>
          <w:right w:val="nil"/>
          <w:between w:val="nil"/>
        </w:pBdr>
        <w:rPr>
          <w:rFonts w:ascii="Cambria" w:eastAsia="Cambria" w:hAnsi="Cambria" w:cs="Cambria"/>
          <w:color w:val="000000"/>
        </w:rPr>
      </w:pPr>
    </w:p>
    <w:p w14:paraId="000003DB" w14:textId="7B23CC9D" w:rsidR="00CD3527" w:rsidRDefault="007F4AED">
      <w:pPr>
        <w:numPr>
          <w:ilvl w:val="3"/>
          <w:numId w:val="33"/>
        </w:numPr>
        <w:pBdr>
          <w:top w:val="nil"/>
          <w:left w:val="nil"/>
          <w:bottom w:val="nil"/>
          <w:right w:val="nil"/>
          <w:between w:val="nil"/>
        </w:pBdr>
        <w:ind w:left="360"/>
        <w:rPr>
          <w:rFonts w:ascii="Cambria" w:eastAsia="Cambria" w:hAnsi="Cambria" w:cs="Cambria"/>
          <w:color w:val="000000"/>
        </w:rPr>
      </w:pPr>
      <w:r>
        <w:rPr>
          <w:rFonts w:ascii="Cambria" w:eastAsia="Cambria" w:hAnsi="Cambria" w:cs="Cambria"/>
          <w:color w:val="000000"/>
          <w:u w:val="single"/>
        </w:rPr>
        <w:t>Practicum:</w:t>
      </w:r>
      <w:r>
        <w:rPr>
          <w:rFonts w:ascii="Cambria" w:eastAsia="Cambria" w:hAnsi="Cambria" w:cs="Cambria"/>
          <w:color w:val="000000"/>
        </w:rPr>
        <w:t xml:space="preserve"> Second and third year practica involve ongoing coordination among the practicum instructor, therapy supervisors, and the Dean Hope Center (especially Dr. Rosa). Supervisors send their end-of-semester evaluations directly to the DCT (cc’ing the Program secretary, Rebecca Shulevitz, and the student). Grading of practica is based not only on the instructor</w:t>
      </w:r>
      <w:r w:rsidR="00F218AA">
        <w:rPr>
          <w:rFonts w:ascii="Cambria" w:eastAsia="Cambria" w:hAnsi="Cambria" w:cs="Cambria"/>
          <w:color w:val="000000"/>
        </w:rPr>
        <w:t>’</w:t>
      </w:r>
      <w:r>
        <w:rPr>
          <w:rFonts w:ascii="Cambria" w:eastAsia="Cambria" w:hAnsi="Cambria" w:cs="Cambria"/>
          <w:color w:val="000000"/>
        </w:rPr>
        <w:t>s assessment of a student</w:t>
      </w:r>
      <w:r w:rsidR="00F218AA">
        <w:rPr>
          <w:rFonts w:ascii="Cambria" w:eastAsia="Cambria" w:hAnsi="Cambria" w:cs="Cambria"/>
          <w:color w:val="000000"/>
        </w:rPr>
        <w:t>’</w:t>
      </w:r>
      <w:r>
        <w:rPr>
          <w:rFonts w:ascii="Cambria" w:eastAsia="Cambria" w:hAnsi="Cambria" w:cs="Cambria"/>
          <w:color w:val="000000"/>
        </w:rPr>
        <w:t xml:space="preserve">s clinical progress and learning (e.g., adherence to the reading assignments), but also on input from Dr. Rosa regarding student adherence to the policies of the clinic, especially in terms of paperwork. Although most practica are “officially” offered for 1-3 points (reflecting the needs of some counseling students who take some of our practica courses), clinical students should be signing up for 3 points per academic semester for practica that they are not repeating (see above for how to sign up for credit when continuing to see cases after practica). </w:t>
      </w:r>
    </w:p>
    <w:p w14:paraId="000003DC" w14:textId="77777777" w:rsidR="00CD3527" w:rsidRDefault="00CD3527">
      <w:pPr>
        <w:pBdr>
          <w:top w:val="nil"/>
          <w:left w:val="nil"/>
          <w:bottom w:val="nil"/>
          <w:right w:val="nil"/>
          <w:between w:val="nil"/>
        </w:pBdr>
        <w:rPr>
          <w:rFonts w:ascii="Cambria" w:eastAsia="Cambria" w:hAnsi="Cambria" w:cs="Cambria"/>
          <w:color w:val="000000"/>
        </w:rPr>
      </w:pPr>
    </w:p>
    <w:p w14:paraId="000003DD" w14:textId="77777777" w:rsidR="00CD3527" w:rsidRDefault="007F4AED">
      <w:pPr>
        <w:numPr>
          <w:ilvl w:val="3"/>
          <w:numId w:val="33"/>
        </w:numPr>
        <w:pBdr>
          <w:top w:val="nil"/>
          <w:left w:val="nil"/>
          <w:bottom w:val="nil"/>
          <w:right w:val="nil"/>
          <w:between w:val="nil"/>
        </w:pBdr>
        <w:ind w:left="360"/>
        <w:rPr>
          <w:rFonts w:ascii="Cambria" w:eastAsia="Cambria" w:hAnsi="Cambria" w:cs="Cambria"/>
          <w:color w:val="000000"/>
        </w:rPr>
      </w:pPr>
      <w:r>
        <w:rPr>
          <w:rFonts w:ascii="Cambria" w:eastAsia="Cambria" w:hAnsi="Cambria" w:cs="Cambria"/>
          <w:color w:val="000000"/>
          <w:u w:val="single"/>
        </w:rPr>
        <w:lastRenderedPageBreak/>
        <w:t>Statistics</w:t>
      </w:r>
      <w:r>
        <w:rPr>
          <w:rFonts w:ascii="Cambria" w:eastAsia="Cambria" w:hAnsi="Cambria" w:cs="Cambria"/>
          <w:color w:val="000000"/>
        </w:rPr>
        <w:t xml:space="preserve">: There are several options available to students for advanced statistics courses after completing HUDM 5122 and HUDM 5123. These include courses in Multivariate Statistics (HUDM 6122), Latent Structures (HUDM 6055), Introduction to R (HUDM 5026), and Meta-analysis (HUDM 5030). See Professor Keller, Corter, or DeCarlo (stats program) for advice and recommendations. </w:t>
      </w:r>
    </w:p>
    <w:p w14:paraId="1622D7B0" w14:textId="77777777" w:rsidR="00F218AA" w:rsidRDefault="00F218AA" w:rsidP="00B3065A">
      <w:pPr>
        <w:pStyle w:val="ListParagraph"/>
        <w:rPr>
          <w:rFonts w:ascii="Cambria" w:eastAsia="Cambria" w:hAnsi="Cambria" w:cs="Cambria"/>
          <w:color w:val="000000"/>
        </w:rPr>
      </w:pPr>
    </w:p>
    <w:p w14:paraId="000003DE" w14:textId="77777777" w:rsidR="00CD3527" w:rsidRDefault="00CD3527">
      <w:pPr>
        <w:pBdr>
          <w:top w:val="nil"/>
          <w:left w:val="nil"/>
          <w:bottom w:val="nil"/>
          <w:right w:val="nil"/>
          <w:between w:val="nil"/>
        </w:pBdr>
        <w:rPr>
          <w:rFonts w:ascii="Cambria" w:eastAsia="Cambria" w:hAnsi="Cambria" w:cs="Cambria"/>
          <w:color w:val="000000"/>
        </w:rPr>
      </w:pPr>
    </w:p>
    <w:p w14:paraId="000003DF" w14:textId="276D95AD" w:rsidR="00CD3527" w:rsidRDefault="007F4AED">
      <w:pPr>
        <w:numPr>
          <w:ilvl w:val="3"/>
          <w:numId w:val="33"/>
        </w:numPr>
        <w:pBdr>
          <w:top w:val="nil"/>
          <w:left w:val="nil"/>
          <w:bottom w:val="nil"/>
          <w:right w:val="nil"/>
          <w:between w:val="nil"/>
        </w:pBdr>
        <w:ind w:left="360"/>
        <w:rPr>
          <w:rFonts w:ascii="Cambria" w:eastAsia="Cambria" w:hAnsi="Cambria" w:cs="Cambria"/>
          <w:color w:val="000000"/>
        </w:rPr>
      </w:pPr>
      <w:r>
        <w:rPr>
          <w:rFonts w:ascii="Cambria" w:eastAsia="Cambria" w:hAnsi="Cambria" w:cs="Cambria"/>
          <w:color w:val="000000"/>
          <w:u w:val="single"/>
        </w:rPr>
        <w:t>Social Psychology (</w:t>
      </w:r>
      <w:r>
        <w:rPr>
          <w:rFonts w:ascii="Cambria" w:eastAsia="Cambria" w:hAnsi="Cambria" w:cs="Cambria"/>
          <w:u w:val="single"/>
        </w:rPr>
        <w:t>CCPX</w:t>
      </w:r>
      <w:r>
        <w:rPr>
          <w:rFonts w:ascii="Cambria" w:eastAsia="Cambria" w:hAnsi="Cambria" w:cs="Cambria"/>
          <w:color w:val="000000"/>
          <w:u w:val="single"/>
        </w:rPr>
        <w:t xml:space="preserve"> </w:t>
      </w:r>
      <w:r>
        <w:rPr>
          <w:rFonts w:ascii="Cambria" w:eastAsia="Cambria" w:hAnsi="Cambria" w:cs="Cambria"/>
          <w:u w:val="single"/>
        </w:rPr>
        <w:t>6278</w:t>
      </w:r>
      <w:r>
        <w:rPr>
          <w:rFonts w:ascii="Cambria" w:eastAsia="Cambria" w:hAnsi="Cambria" w:cs="Cambria"/>
          <w:color w:val="000000"/>
          <w:u w:val="single"/>
        </w:rPr>
        <w:t>)</w:t>
      </w:r>
      <w:r>
        <w:rPr>
          <w:rFonts w:ascii="Cambria" w:eastAsia="Cambria" w:hAnsi="Cambria" w:cs="Cambria"/>
          <w:color w:val="000000"/>
        </w:rPr>
        <w:t>, the course that fulfills the requirement for a course in Social Aspects of Behavior, is typically taken in the spring semester of the third year, but can also be taken—if offered</w:t>
      </w:r>
      <w:r w:rsidR="00CA52E5">
        <w:rPr>
          <w:rFonts w:ascii="Cambria" w:eastAsia="Cambria" w:hAnsi="Cambria" w:cs="Cambria"/>
          <w:color w:val="000000"/>
        </w:rPr>
        <w:t>—</w:t>
      </w:r>
      <w:r>
        <w:rPr>
          <w:rFonts w:ascii="Cambria" w:eastAsia="Cambria" w:hAnsi="Cambria" w:cs="Cambria"/>
          <w:color w:val="000000"/>
        </w:rPr>
        <w:t xml:space="preserve">during the first summer semester (A) of either the second or third year, if offered. Register early! </w:t>
      </w:r>
    </w:p>
    <w:p w14:paraId="51B92B0A" w14:textId="77777777" w:rsidR="00F218AA" w:rsidRDefault="00F218AA" w:rsidP="00B3065A">
      <w:pPr>
        <w:pStyle w:val="ListParagraph"/>
        <w:rPr>
          <w:rFonts w:ascii="Cambria" w:eastAsia="Cambria" w:hAnsi="Cambria" w:cs="Cambria"/>
          <w:color w:val="000000"/>
        </w:rPr>
      </w:pPr>
    </w:p>
    <w:p w14:paraId="000003E0" w14:textId="77777777" w:rsidR="00CD3527" w:rsidRDefault="00CD3527">
      <w:pPr>
        <w:pBdr>
          <w:top w:val="nil"/>
          <w:left w:val="nil"/>
          <w:bottom w:val="nil"/>
          <w:right w:val="nil"/>
          <w:between w:val="nil"/>
        </w:pBdr>
        <w:rPr>
          <w:rFonts w:ascii="Cambria" w:eastAsia="Cambria" w:hAnsi="Cambria" w:cs="Cambria"/>
          <w:color w:val="000000"/>
        </w:rPr>
      </w:pPr>
    </w:p>
    <w:p w14:paraId="000003E1" w14:textId="77777777" w:rsidR="00CD3527" w:rsidRDefault="007F4AED">
      <w:pPr>
        <w:numPr>
          <w:ilvl w:val="3"/>
          <w:numId w:val="33"/>
        </w:numPr>
        <w:pBdr>
          <w:top w:val="nil"/>
          <w:left w:val="nil"/>
          <w:bottom w:val="nil"/>
          <w:right w:val="nil"/>
          <w:between w:val="nil"/>
        </w:pBdr>
        <w:ind w:left="360"/>
        <w:rPr>
          <w:rFonts w:ascii="Cambria" w:eastAsia="Cambria" w:hAnsi="Cambria" w:cs="Cambria"/>
          <w:color w:val="000000"/>
        </w:rPr>
      </w:pPr>
      <w:r>
        <w:rPr>
          <w:rFonts w:ascii="Cambria" w:eastAsia="Cambria" w:hAnsi="Cambria" w:cs="Cambria"/>
          <w:color w:val="000000"/>
          <w:u w:val="single"/>
        </w:rPr>
        <w:t>Second-Year Project:</w:t>
      </w:r>
      <w:r>
        <w:rPr>
          <w:rFonts w:ascii="Cambria" w:eastAsia="Cambria" w:hAnsi="Cambria" w:cs="Cambria"/>
          <w:color w:val="000000"/>
        </w:rPr>
        <w:t xml:space="preserve"> Details regarding the Project are on the pages that follow. Students’ Second-Year Project advisors are almost always the same as their primary advisor in the program, but in all cases must be selected from among the core faculty members of the program. Further, it should not be expected that core faculty members will serve as titular sponsors of research being conducted by others elsewhere.</w:t>
      </w:r>
    </w:p>
    <w:p w14:paraId="47B51000" w14:textId="77777777" w:rsidR="00F218AA" w:rsidRDefault="00F218AA" w:rsidP="00B3065A">
      <w:pPr>
        <w:pStyle w:val="ListParagraph"/>
        <w:rPr>
          <w:rFonts w:ascii="Cambria" w:eastAsia="Cambria" w:hAnsi="Cambria" w:cs="Cambria"/>
          <w:color w:val="000000"/>
        </w:rPr>
      </w:pPr>
    </w:p>
    <w:p w14:paraId="000003E2" w14:textId="77777777" w:rsidR="00CD3527" w:rsidRDefault="00CD3527">
      <w:pPr>
        <w:pBdr>
          <w:top w:val="nil"/>
          <w:left w:val="nil"/>
          <w:bottom w:val="nil"/>
          <w:right w:val="nil"/>
          <w:between w:val="nil"/>
        </w:pBdr>
        <w:rPr>
          <w:rFonts w:ascii="Cambria" w:eastAsia="Cambria" w:hAnsi="Cambria" w:cs="Cambria"/>
          <w:color w:val="000000"/>
        </w:rPr>
      </w:pPr>
    </w:p>
    <w:p w14:paraId="000003E3" w14:textId="77777777" w:rsidR="00CD3527" w:rsidRDefault="007F4AED">
      <w:pPr>
        <w:numPr>
          <w:ilvl w:val="3"/>
          <w:numId w:val="33"/>
        </w:numPr>
        <w:pBdr>
          <w:top w:val="nil"/>
          <w:left w:val="nil"/>
          <w:bottom w:val="nil"/>
          <w:right w:val="nil"/>
          <w:between w:val="nil"/>
        </w:pBdr>
        <w:ind w:left="360"/>
        <w:rPr>
          <w:rFonts w:ascii="Cambria" w:eastAsia="Cambria" w:hAnsi="Cambria" w:cs="Cambria"/>
          <w:color w:val="000000"/>
        </w:rPr>
      </w:pPr>
      <w:r>
        <w:rPr>
          <w:rFonts w:ascii="Cambria" w:eastAsia="Cambria" w:hAnsi="Cambria" w:cs="Cambria"/>
          <w:color w:val="000000"/>
          <w:u w:val="single"/>
        </w:rPr>
        <w:t xml:space="preserve">The Master of Science degree (MS) </w:t>
      </w:r>
      <w:r>
        <w:rPr>
          <w:rFonts w:ascii="Cambria" w:eastAsia="Cambria" w:hAnsi="Cambria" w:cs="Cambria"/>
          <w:color w:val="000000"/>
        </w:rPr>
        <w:t xml:space="preserve">is awarded to students following completion of all course requirements of the first two years, including completion of the Second-Year Project. (The MPhil is awarded, usually in the third year, after taking and passing the Certifying Exam (see below), and after completing all coursework). </w:t>
      </w:r>
    </w:p>
    <w:p w14:paraId="0833A306" w14:textId="77777777" w:rsidR="00F218AA" w:rsidRDefault="00F218AA" w:rsidP="00B3065A">
      <w:pPr>
        <w:pStyle w:val="ListParagraph"/>
        <w:rPr>
          <w:rFonts w:ascii="Cambria" w:eastAsia="Cambria" w:hAnsi="Cambria" w:cs="Cambria"/>
          <w:color w:val="000000"/>
        </w:rPr>
      </w:pPr>
    </w:p>
    <w:p w14:paraId="000003E4" w14:textId="77777777" w:rsidR="00CD3527" w:rsidRDefault="00CD3527">
      <w:pPr>
        <w:pBdr>
          <w:top w:val="nil"/>
          <w:left w:val="nil"/>
          <w:bottom w:val="nil"/>
          <w:right w:val="nil"/>
          <w:between w:val="nil"/>
        </w:pBdr>
        <w:tabs>
          <w:tab w:val="left" w:pos="720"/>
          <w:tab w:val="left" w:pos="980"/>
          <w:tab w:val="left" w:pos="2160"/>
          <w:tab w:val="left" w:pos="2960"/>
          <w:tab w:val="left" w:pos="3780"/>
          <w:tab w:val="left" w:pos="4320"/>
          <w:tab w:val="left" w:pos="6480"/>
          <w:tab w:val="left" w:pos="7640"/>
          <w:tab w:val="left" w:pos="8460"/>
          <w:tab w:val="left" w:pos="8819"/>
        </w:tabs>
        <w:rPr>
          <w:rFonts w:ascii="Cambria" w:eastAsia="Cambria" w:hAnsi="Cambria" w:cs="Cambria"/>
          <w:color w:val="000000"/>
        </w:rPr>
      </w:pPr>
    </w:p>
    <w:p w14:paraId="000003E5" w14:textId="77777777" w:rsidR="00CD3527" w:rsidRDefault="007F4AED">
      <w:pPr>
        <w:numPr>
          <w:ilvl w:val="3"/>
          <w:numId w:val="33"/>
        </w:numPr>
        <w:pBdr>
          <w:top w:val="nil"/>
          <w:left w:val="nil"/>
          <w:bottom w:val="nil"/>
          <w:right w:val="nil"/>
          <w:between w:val="nil"/>
        </w:pBdr>
        <w:ind w:left="360"/>
        <w:rPr>
          <w:rFonts w:ascii="Cambria" w:eastAsia="Cambria" w:hAnsi="Cambria" w:cs="Cambria"/>
          <w:color w:val="000000"/>
        </w:rPr>
      </w:pPr>
      <w:r>
        <w:rPr>
          <w:rFonts w:ascii="Cambria" w:eastAsia="Cambria" w:hAnsi="Cambria" w:cs="Cambria"/>
          <w:color w:val="000000"/>
          <w:u w:val="single"/>
        </w:rPr>
        <w:t>Psychotherapy with Children (CCPX 5531)</w:t>
      </w:r>
      <w:r>
        <w:rPr>
          <w:rFonts w:ascii="Cambria" w:eastAsia="Cambria" w:hAnsi="Cambria" w:cs="Cambria"/>
          <w:color w:val="000000"/>
        </w:rPr>
        <w:t xml:space="preserve"> is required for those who are taking the Child &amp; Adolescent Therapy rotation; others may take this course as an elective. </w:t>
      </w:r>
      <w:r>
        <w:rPr>
          <w:rFonts w:ascii="Cambria" w:eastAsia="Cambria" w:hAnsi="Cambria" w:cs="Cambria"/>
          <w:color w:val="000000"/>
        </w:rPr>
        <w:br/>
      </w:r>
    </w:p>
    <w:p w14:paraId="4001DA8C" w14:textId="77777777" w:rsidR="00F218AA" w:rsidRDefault="00F218AA" w:rsidP="00B3065A">
      <w:pPr>
        <w:pStyle w:val="ListParagraph"/>
        <w:rPr>
          <w:rFonts w:ascii="Cambria" w:eastAsia="Cambria" w:hAnsi="Cambria" w:cs="Cambria"/>
          <w:color w:val="000000"/>
          <w:u w:val="single"/>
        </w:rPr>
      </w:pPr>
    </w:p>
    <w:p w14:paraId="000003E6" w14:textId="77777777" w:rsidR="00CD3527" w:rsidRDefault="007F4AED">
      <w:pPr>
        <w:numPr>
          <w:ilvl w:val="3"/>
          <w:numId w:val="33"/>
        </w:numPr>
        <w:pBdr>
          <w:top w:val="nil"/>
          <w:left w:val="nil"/>
          <w:bottom w:val="nil"/>
          <w:right w:val="nil"/>
          <w:between w:val="nil"/>
        </w:pBdr>
        <w:ind w:left="360"/>
        <w:rPr>
          <w:rFonts w:ascii="Cambria" w:eastAsia="Cambria" w:hAnsi="Cambria" w:cs="Cambria"/>
          <w:color w:val="000000"/>
        </w:rPr>
      </w:pPr>
      <w:r>
        <w:rPr>
          <w:rFonts w:ascii="Cambria" w:eastAsia="Cambria" w:hAnsi="Cambria" w:cs="Cambria"/>
          <w:color w:val="000000"/>
          <w:u w:val="single"/>
        </w:rPr>
        <w:t>Seminar in Life Span Development (HUDK 6520; Professor Brooks-Gunn</w:t>
      </w:r>
      <w:r>
        <w:rPr>
          <w:rFonts w:ascii="Cambria" w:eastAsia="Cambria" w:hAnsi="Cambria" w:cs="Cambria"/>
          <w:color w:val="000000"/>
        </w:rPr>
        <w:t xml:space="preserve">) is the preferred course for meeting APA requirement for a course in life-span human development. Alternatively, students may elect to fill this requirement via HUDK 5040 (Development and Psychopathology: Atypical Contexts and Populations), an online course offered each spring.  </w:t>
      </w:r>
    </w:p>
    <w:p w14:paraId="000003E7" w14:textId="77777777" w:rsidR="00CD3527" w:rsidRDefault="00CD3527">
      <w:pPr>
        <w:pBdr>
          <w:top w:val="nil"/>
          <w:left w:val="nil"/>
          <w:bottom w:val="nil"/>
          <w:right w:val="nil"/>
          <w:between w:val="nil"/>
        </w:pBdr>
        <w:ind w:left="360"/>
        <w:rPr>
          <w:rFonts w:ascii="Cambria" w:eastAsia="Cambria" w:hAnsi="Cambria" w:cs="Cambria"/>
          <w:color w:val="000000"/>
        </w:rPr>
      </w:pPr>
    </w:p>
    <w:p w14:paraId="000003E8" w14:textId="77777777" w:rsidR="00CD3527" w:rsidRDefault="00CD3527">
      <w:pPr>
        <w:pBdr>
          <w:top w:val="nil"/>
          <w:left w:val="nil"/>
          <w:bottom w:val="nil"/>
          <w:right w:val="nil"/>
          <w:between w:val="nil"/>
        </w:pBdr>
        <w:rPr>
          <w:rFonts w:ascii="Cambria" w:eastAsia="Cambria" w:hAnsi="Cambria" w:cs="Cambria"/>
          <w:color w:val="000000"/>
        </w:rPr>
      </w:pPr>
    </w:p>
    <w:p w14:paraId="000003E9" w14:textId="77777777" w:rsidR="00CD3527" w:rsidRDefault="007F4AED">
      <w:pPr>
        <w:rPr>
          <w:sz w:val="32"/>
          <w:szCs w:val="32"/>
        </w:rPr>
      </w:pPr>
      <w:bookmarkStart w:id="48" w:name="_heading=h.3tbugp1" w:colFirst="0" w:colLast="0"/>
      <w:bookmarkEnd w:id="48"/>
      <w:r>
        <w:br w:type="page"/>
      </w:r>
      <w:r>
        <w:rPr>
          <w:sz w:val="32"/>
          <w:szCs w:val="32"/>
        </w:rPr>
        <w:lastRenderedPageBreak/>
        <w:t>The Second-Year Project</w:t>
      </w:r>
    </w:p>
    <w:p w14:paraId="000003EA" w14:textId="77777777" w:rsidR="00CD3527" w:rsidRDefault="00CD3527">
      <w:pPr>
        <w:pBdr>
          <w:top w:val="nil"/>
          <w:left w:val="nil"/>
          <w:bottom w:val="nil"/>
          <w:right w:val="nil"/>
          <w:between w:val="nil"/>
        </w:pBdr>
        <w:rPr>
          <w:rFonts w:ascii="Cambria" w:eastAsia="Cambria" w:hAnsi="Cambria" w:cs="Cambria"/>
          <w:color w:val="000000"/>
        </w:rPr>
      </w:pPr>
    </w:p>
    <w:p w14:paraId="000003EB" w14:textId="3213E43E"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u w:val="single"/>
        </w:rPr>
        <w:t>Form</w:t>
      </w:r>
      <w:r>
        <w:rPr>
          <w:rFonts w:ascii="Cambria" w:eastAsia="Cambria" w:hAnsi="Cambria" w:cs="Cambria"/>
          <w:color w:val="000000"/>
        </w:rPr>
        <w:t xml:space="preserve">: The Second-Year Project is an empirical study, using whatever research method or methods are best suited for the testing of the particular hypotheses and/or research questions being investigated. Models for designing and presenting this project can be found in articles in the </w:t>
      </w:r>
      <w:r>
        <w:rPr>
          <w:rFonts w:ascii="Cambria" w:eastAsia="Cambria" w:hAnsi="Cambria" w:cs="Cambria"/>
          <w:i/>
          <w:color w:val="000000"/>
        </w:rPr>
        <w:t xml:space="preserve">Journal of Psychopathology and Clinical Science, Journal of Consulting and Clinical Psychology, Clinical Psychological Science, Journal of Personality and Social Psychology, </w:t>
      </w:r>
      <w:r>
        <w:rPr>
          <w:rFonts w:ascii="Cambria" w:eastAsia="Cambria" w:hAnsi="Cambria" w:cs="Cambria"/>
          <w:color w:val="000000"/>
        </w:rPr>
        <w:t>and</w:t>
      </w:r>
      <w:r>
        <w:rPr>
          <w:rFonts w:ascii="Cambria" w:eastAsia="Cambria" w:hAnsi="Cambria" w:cs="Cambria"/>
          <w:i/>
          <w:color w:val="000000"/>
        </w:rPr>
        <w:t xml:space="preserve"> Psychotherapy Research</w:t>
      </w:r>
      <w:r>
        <w:rPr>
          <w:rFonts w:ascii="Cambria" w:eastAsia="Cambria" w:hAnsi="Cambria" w:cs="Cambria"/>
          <w:color w:val="000000"/>
        </w:rPr>
        <w:t>. Second-Year Projects from previous years are often available via one’s advisor. Many students find it useful to think of the Second-Year Project as an opportunity to work in an area that they may continue to pursue in their dissertations.</w:t>
      </w:r>
    </w:p>
    <w:p w14:paraId="000003EC" w14:textId="77777777" w:rsidR="00CD3527" w:rsidRDefault="00CD3527">
      <w:pPr>
        <w:pBdr>
          <w:top w:val="nil"/>
          <w:left w:val="nil"/>
          <w:bottom w:val="nil"/>
          <w:right w:val="nil"/>
          <w:between w:val="nil"/>
        </w:pBdr>
        <w:rPr>
          <w:rFonts w:ascii="Cambria" w:eastAsia="Cambria" w:hAnsi="Cambria" w:cs="Cambria"/>
          <w:color w:val="000000"/>
        </w:rPr>
      </w:pPr>
    </w:p>
    <w:p w14:paraId="000003ED"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u w:val="single"/>
        </w:rPr>
        <w:t>Style</w:t>
      </w:r>
      <w:r>
        <w:rPr>
          <w:rFonts w:ascii="Cambria" w:eastAsia="Cambria" w:hAnsi="Cambria" w:cs="Cambria"/>
          <w:color w:val="000000"/>
        </w:rPr>
        <w:t xml:space="preserve">: The Second-Year Project is to be written as if for publication in an APA or APA-like (refereed) journal. The organization, punctuation, tables, headings, abstract, and reference styles must follow the recommendations of the APA </w:t>
      </w:r>
      <w:r>
        <w:rPr>
          <w:rFonts w:ascii="Cambria" w:eastAsia="Cambria" w:hAnsi="Cambria" w:cs="Cambria"/>
          <w:i/>
          <w:color w:val="000000"/>
        </w:rPr>
        <w:t>Publication Manual</w:t>
      </w:r>
      <w:r>
        <w:rPr>
          <w:rFonts w:ascii="Cambria" w:eastAsia="Cambria" w:hAnsi="Cambria" w:cs="Cambria"/>
          <w:color w:val="000000"/>
        </w:rPr>
        <w:t xml:space="preserve"> (7</w:t>
      </w:r>
      <w:r w:rsidRPr="00B3065A">
        <w:rPr>
          <w:rFonts w:ascii="Cambria" w:eastAsia="Cambria" w:hAnsi="Cambria" w:cs="Cambria"/>
          <w:color w:val="000000"/>
          <w:vertAlign w:val="superscript"/>
        </w:rPr>
        <w:t>th</w:t>
      </w:r>
      <w:r>
        <w:rPr>
          <w:rFonts w:ascii="Cambria" w:eastAsia="Cambria" w:hAnsi="Cambria" w:cs="Cambria"/>
          <w:color w:val="000000"/>
        </w:rPr>
        <w:t xml:space="preserve"> ed., 2019), except that the title page should include, toward the bottom of the right-hand corner, the name of your sponsor and the date of submission of this draft.</w:t>
      </w:r>
    </w:p>
    <w:p w14:paraId="000003EE" w14:textId="77777777" w:rsidR="00CD3527" w:rsidRDefault="00CD3527">
      <w:pPr>
        <w:pBdr>
          <w:top w:val="nil"/>
          <w:left w:val="nil"/>
          <w:bottom w:val="nil"/>
          <w:right w:val="nil"/>
          <w:between w:val="nil"/>
        </w:pBdr>
        <w:rPr>
          <w:rFonts w:ascii="Cambria" w:eastAsia="Cambria" w:hAnsi="Cambria" w:cs="Cambria"/>
          <w:color w:val="000000"/>
        </w:rPr>
      </w:pPr>
    </w:p>
    <w:p w14:paraId="000003EF"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Several of the most frequent errors in APA style have been noted earlier in this Handbook. Please refer to this section before submitting your Project.</w:t>
      </w:r>
    </w:p>
    <w:p w14:paraId="000003F0" w14:textId="77777777" w:rsidR="00CD3527" w:rsidRDefault="00CD3527">
      <w:pPr>
        <w:pBdr>
          <w:top w:val="nil"/>
          <w:left w:val="nil"/>
          <w:bottom w:val="nil"/>
          <w:right w:val="nil"/>
          <w:between w:val="nil"/>
        </w:pBdr>
        <w:rPr>
          <w:rFonts w:ascii="Cambria" w:eastAsia="Cambria" w:hAnsi="Cambria" w:cs="Cambria"/>
          <w:color w:val="000000"/>
        </w:rPr>
      </w:pPr>
    </w:p>
    <w:p w14:paraId="000003F1"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u w:val="single"/>
        </w:rPr>
        <w:t>Data Analysis:</w:t>
      </w:r>
      <w:r>
        <w:rPr>
          <w:rFonts w:ascii="Cambria" w:eastAsia="Cambria" w:hAnsi="Cambria" w:cs="Cambria"/>
          <w:color w:val="000000"/>
        </w:rPr>
        <w:t xml:space="preserve"> The primary purpose of the Second-Year Project is to give students an opportunity to design, implement, analyze, and discuss the results of an empirical study. Therefore, to state the obvious: students, not paid statistical consultants, are expected to analyze their data. While experts on statistics and research design may be consulted, students are expected to know how to use available statistical programs, determine which statistics are best suited for the problem being investigated, and understand the meaning of the results of the statistical findings. </w:t>
      </w:r>
    </w:p>
    <w:p w14:paraId="000003F2" w14:textId="77777777" w:rsidR="00CD3527" w:rsidRDefault="00CD3527">
      <w:pPr>
        <w:pBdr>
          <w:top w:val="nil"/>
          <w:left w:val="nil"/>
          <w:bottom w:val="nil"/>
          <w:right w:val="nil"/>
          <w:between w:val="nil"/>
        </w:pBdr>
        <w:rPr>
          <w:rFonts w:ascii="Cambria" w:eastAsia="Cambria" w:hAnsi="Cambria" w:cs="Cambria"/>
          <w:color w:val="000000"/>
        </w:rPr>
      </w:pPr>
    </w:p>
    <w:p w14:paraId="000003F3" w14:textId="4027E28F"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u w:val="single"/>
        </w:rPr>
        <w:t>Quality &amp; Quantity</w:t>
      </w:r>
      <w:r>
        <w:rPr>
          <w:rFonts w:ascii="Cambria" w:eastAsia="Cambria" w:hAnsi="Cambria" w:cs="Cambria"/>
          <w:color w:val="000000"/>
        </w:rPr>
        <w:t xml:space="preserve">: The Project must be of </w:t>
      </w:r>
      <w:r>
        <w:rPr>
          <w:rFonts w:ascii="Cambria" w:eastAsia="Cambria" w:hAnsi="Cambria" w:cs="Cambria"/>
          <w:color w:val="000000"/>
          <w:u w:val="single"/>
        </w:rPr>
        <w:t>publishable quality</w:t>
      </w:r>
      <w:r>
        <w:rPr>
          <w:rFonts w:ascii="Cambria" w:eastAsia="Cambria" w:hAnsi="Cambria" w:cs="Cambria"/>
          <w:color w:val="000000"/>
        </w:rPr>
        <w:t xml:space="preserve"> in content and exposition. Projects judged (by the advisor) to fall below this standard are not acceptable. Typically (though not necessarily), projects will be between 20-25 pages, including abstract, tables, and references. A good many of our students</w:t>
      </w:r>
      <w:r w:rsidR="00F218AA">
        <w:rPr>
          <w:rFonts w:ascii="Cambria" w:eastAsia="Cambria" w:hAnsi="Cambria" w:cs="Cambria"/>
          <w:color w:val="000000"/>
        </w:rPr>
        <w:t>’</w:t>
      </w:r>
      <w:r>
        <w:rPr>
          <w:rFonts w:ascii="Cambria" w:eastAsia="Cambria" w:hAnsi="Cambria" w:cs="Cambria"/>
          <w:color w:val="000000"/>
        </w:rPr>
        <w:t xml:space="preserve"> Second-Year Projects have, in fact, been presented at professional conferences and/or been published in professional journals, and these are the goals toward which you should aim.</w:t>
      </w:r>
    </w:p>
    <w:p w14:paraId="000003F4" w14:textId="77777777" w:rsidR="00CD3527" w:rsidRDefault="00CD3527">
      <w:pPr>
        <w:pBdr>
          <w:top w:val="nil"/>
          <w:left w:val="nil"/>
          <w:bottom w:val="nil"/>
          <w:right w:val="nil"/>
          <w:between w:val="nil"/>
        </w:pBdr>
        <w:rPr>
          <w:rFonts w:ascii="Cambria" w:eastAsia="Cambria" w:hAnsi="Cambria" w:cs="Cambria"/>
          <w:color w:val="000000"/>
        </w:rPr>
      </w:pPr>
    </w:p>
    <w:p w14:paraId="000003F5" w14:textId="21E5926A"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u w:val="single"/>
        </w:rPr>
        <w:t>Process:</w:t>
      </w:r>
      <w:r>
        <w:rPr>
          <w:rFonts w:ascii="Cambria" w:eastAsia="Cambria" w:hAnsi="Cambria" w:cs="Cambria"/>
          <w:color w:val="000000"/>
        </w:rPr>
        <w:t xml:space="preserve"> With their advisor’s guidance and suggestions, and (almost always) in the context of their work in their advisor’s research lab, students will develop ideas for their </w:t>
      </w:r>
      <w:r w:rsidR="00DA169F">
        <w:rPr>
          <w:rFonts w:ascii="Cambria" w:eastAsia="Cambria" w:hAnsi="Cambria" w:cs="Cambria"/>
          <w:color w:val="000000"/>
        </w:rPr>
        <w:t>S</w:t>
      </w:r>
      <w:r>
        <w:rPr>
          <w:rFonts w:ascii="Cambria" w:eastAsia="Cambria" w:hAnsi="Cambria" w:cs="Cambria"/>
          <w:color w:val="000000"/>
        </w:rPr>
        <w:t>econd-</w:t>
      </w:r>
      <w:r w:rsidR="00DA169F">
        <w:rPr>
          <w:rFonts w:ascii="Cambria" w:eastAsia="Cambria" w:hAnsi="Cambria" w:cs="Cambria"/>
          <w:color w:val="000000"/>
        </w:rPr>
        <w:t>Y</w:t>
      </w:r>
      <w:r>
        <w:rPr>
          <w:rFonts w:ascii="Cambria" w:eastAsia="Cambria" w:hAnsi="Cambria" w:cs="Cambria"/>
          <w:color w:val="000000"/>
        </w:rPr>
        <w:t xml:space="preserve">ear </w:t>
      </w:r>
      <w:r w:rsidR="00DA169F">
        <w:rPr>
          <w:rFonts w:ascii="Cambria" w:eastAsia="Cambria" w:hAnsi="Cambria" w:cs="Cambria"/>
          <w:color w:val="000000"/>
        </w:rPr>
        <w:t>P</w:t>
      </w:r>
      <w:r>
        <w:rPr>
          <w:rFonts w:ascii="Cambria" w:eastAsia="Cambria" w:hAnsi="Cambria" w:cs="Cambria"/>
          <w:color w:val="000000"/>
        </w:rPr>
        <w:t xml:space="preserve">roject. Data for Projects are frequently part of a large data set collected as part of the lab’s work, but may also be collected by the student specifically for their Project and, in some cases, may be part of a data set that exists independent of the lab they’re involved with.  </w:t>
      </w:r>
    </w:p>
    <w:p w14:paraId="000003F6" w14:textId="77777777" w:rsidR="00CD3527" w:rsidRDefault="00CD3527">
      <w:pPr>
        <w:pBdr>
          <w:top w:val="nil"/>
          <w:left w:val="nil"/>
          <w:bottom w:val="nil"/>
          <w:right w:val="nil"/>
          <w:between w:val="nil"/>
        </w:pBdr>
        <w:rPr>
          <w:rFonts w:ascii="Cambria" w:eastAsia="Cambria" w:hAnsi="Cambria" w:cs="Cambria"/>
          <w:color w:val="000000"/>
        </w:rPr>
      </w:pPr>
    </w:p>
    <w:p w14:paraId="000003F7" w14:textId="1386D646"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u w:val="single"/>
        </w:rPr>
        <w:lastRenderedPageBreak/>
        <w:t>Schedule:</w:t>
      </w:r>
      <w:r>
        <w:rPr>
          <w:rFonts w:ascii="Cambria" w:eastAsia="Cambria" w:hAnsi="Cambria" w:cs="Cambria"/>
          <w:color w:val="000000"/>
        </w:rPr>
        <w:t xml:space="preserve"> As noted above, the nature and aims of a </w:t>
      </w:r>
      <w:r w:rsidR="00CA52E5">
        <w:rPr>
          <w:rFonts w:ascii="Cambria" w:eastAsia="Cambria" w:hAnsi="Cambria" w:cs="Cambria"/>
          <w:color w:val="000000"/>
        </w:rPr>
        <w:t>S</w:t>
      </w:r>
      <w:r>
        <w:rPr>
          <w:rFonts w:ascii="Cambria" w:eastAsia="Cambria" w:hAnsi="Cambria" w:cs="Cambria"/>
          <w:color w:val="000000"/>
        </w:rPr>
        <w:t>econd-</w:t>
      </w:r>
      <w:r w:rsidR="00CA52E5">
        <w:rPr>
          <w:rFonts w:ascii="Cambria" w:eastAsia="Cambria" w:hAnsi="Cambria" w:cs="Cambria"/>
          <w:color w:val="000000"/>
        </w:rPr>
        <w:t>Y</w:t>
      </w:r>
      <w:r>
        <w:rPr>
          <w:rFonts w:ascii="Cambria" w:eastAsia="Cambria" w:hAnsi="Cambria" w:cs="Cambria"/>
          <w:color w:val="000000"/>
        </w:rPr>
        <w:t xml:space="preserve">ear </w:t>
      </w:r>
      <w:r w:rsidR="00CA52E5">
        <w:rPr>
          <w:rFonts w:ascii="Cambria" w:eastAsia="Cambria" w:hAnsi="Cambria" w:cs="Cambria"/>
          <w:color w:val="000000"/>
        </w:rPr>
        <w:t>P</w:t>
      </w:r>
      <w:r>
        <w:rPr>
          <w:rFonts w:ascii="Cambria" w:eastAsia="Cambria" w:hAnsi="Cambria" w:cs="Cambria"/>
          <w:color w:val="000000"/>
        </w:rPr>
        <w:t>roject are developed by the student in consultation with his or her advisor. Ideally, and in most cases, the ideas and structure of the project begin to coalesce by the spring semester of the student’s first year of study.</w:t>
      </w:r>
    </w:p>
    <w:p w14:paraId="000003F8" w14:textId="548DC9EC" w:rsidR="00CD3527" w:rsidRDefault="007F4AED">
      <w:pPr>
        <w:numPr>
          <w:ilvl w:val="0"/>
          <w:numId w:val="89"/>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u w:val="single"/>
        </w:rPr>
        <w:t xml:space="preserve">A completed first draft of the </w:t>
      </w:r>
      <w:r w:rsidR="00CA52E5">
        <w:rPr>
          <w:rFonts w:ascii="Cambria" w:eastAsia="Cambria" w:hAnsi="Cambria" w:cs="Cambria"/>
          <w:color w:val="000000"/>
          <w:u w:val="single"/>
        </w:rPr>
        <w:t>S</w:t>
      </w:r>
      <w:r>
        <w:rPr>
          <w:rFonts w:ascii="Cambria" w:eastAsia="Cambria" w:hAnsi="Cambria" w:cs="Cambria"/>
          <w:color w:val="000000"/>
          <w:u w:val="single"/>
        </w:rPr>
        <w:t>econd-</w:t>
      </w:r>
      <w:r w:rsidR="00CA52E5">
        <w:rPr>
          <w:rFonts w:ascii="Cambria" w:eastAsia="Cambria" w:hAnsi="Cambria" w:cs="Cambria"/>
          <w:color w:val="000000"/>
          <w:u w:val="single"/>
        </w:rPr>
        <w:t>Y</w:t>
      </w:r>
      <w:r>
        <w:rPr>
          <w:rFonts w:ascii="Cambria" w:eastAsia="Cambria" w:hAnsi="Cambria" w:cs="Cambria"/>
          <w:color w:val="000000"/>
          <w:u w:val="single"/>
        </w:rPr>
        <w:t>ear Project is due the first day of registration in the fall semester of the third year</w:t>
      </w:r>
      <w:r>
        <w:rPr>
          <w:rFonts w:ascii="Cambria" w:eastAsia="Cambria" w:hAnsi="Cambria" w:cs="Cambria"/>
          <w:color w:val="000000"/>
        </w:rPr>
        <w:t xml:space="preserve">. This draft should be word-processed, in APA style, complete with abstract, tables, and references, and proofread. It should not be the first draft that emerges from the word processor. It should be as close as possible to what the student (and faculty member) expects to be the finished product. Students not submitting first drafts of Second-Year Projects at this time will need to put together a detailed remediation plan with clear behavioral goals and must be submitted by end of Fall semester in the third year or risk a failing grade for the </w:t>
      </w:r>
      <w:r w:rsidR="00CA52E5">
        <w:rPr>
          <w:rFonts w:ascii="Cambria" w:eastAsia="Cambria" w:hAnsi="Cambria" w:cs="Cambria"/>
          <w:color w:val="000000"/>
        </w:rPr>
        <w:t>S</w:t>
      </w:r>
      <w:r>
        <w:rPr>
          <w:rFonts w:ascii="Cambria" w:eastAsia="Cambria" w:hAnsi="Cambria" w:cs="Cambria"/>
          <w:color w:val="000000"/>
        </w:rPr>
        <w:t>econd</w:t>
      </w:r>
      <w:r w:rsidR="00CA52E5">
        <w:rPr>
          <w:rFonts w:ascii="Cambria" w:eastAsia="Cambria" w:hAnsi="Cambria" w:cs="Cambria"/>
          <w:color w:val="000000"/>
        </w:rPr>
        <w:t>-Y</w:t>
      </w:r>
      <w:r>
        <w:rPr>
          <w:rFonts w:ascii="Cambria" w:eastAsia="Cambria" w:hAnsi="Cambria" w:cs="Cambria"/>
          <w:color w:val="000000"/>
        </w:rPr>
        <w:t xml:space="preserve">ear </w:t>
      </w:r>
      <w:r w:rsidR="00CA52E5">
        <w:rPr>
          <w:rFonts w:ascii="Cambria" w:eastAsia="Cambria" w:hAnsi="Cambria" w:cs="Cambria"/>
          <w:color w:val="000000"/>
        </w:rPr>
        <w:t>P</w:t>
      </w:r>
      <w:r>
        <w:rPr>
          <w:rFonts w:ascii="Cambria" w:eastAsia="Cambria" w:hAnsi="Cambria" w:cs="Cambria"/>
          <w:color w:val="000000"/>
        </w:rPr>
        <w:t>roject.</w:t>
      </w:r>
    </w:p>
    <w:p w14:paraId="000003F9" w14:textId="5E883F58" w:rsidR="00CD3527" w:rsidRDefault="007F4AED">
      <w:pPr>
        <w:numPr>
          <w:ilvl w:val="0"/>
          <w:numId w:val="89"/>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During the fall semester of the third year, students should continue to meet with their research advisors to revise and polish the Project. A final approved (by the advisor) draft is due no later than the first day of spring registration. A copy of this final draft should be given to the program secretary for filing. Note that turning in a draft is not equivalent to the research advisor</w:t>
      </w:r>
      <w:r w:rsidR="00F218AA">
        <w:rPr>
          <w:rFonts w:ascii="Cambria" w:eastAsia="Cambria" w:hAnsi="Cambria" w:cs="Cambria"/>
          <w:color w:val="000000"/>
        </w:rPr>
        <w:t>’</w:t>
      </w:r>
      <w:r>
        <w:rPr>
          <w:rFonts w:ascii="Cambria" w:eastAsia="Cambria" w:hAnsi="Cambria" w:cs="Cambria"/>
          <w:color w:val="000000"/>
        </w:rPr>
        <w:t xml:space="preserve">s approval of same. </w:t>
      </w:r>
    </w:p>
    <w:p w14:paraId="000003FA" w14:textId="77777777" w:rsidR="00CD3527" w:rsidRDefault="00CD3527">
      <w:pPr>
        <w:pBdr>
          <w:top w:val="nil"/>
          <w:left w:val="nil"/>
          <w:bottom w:val="nil"/>
          <w:right w:val="nil"/>
          <w:between w:val="nil"/>
        </w:pBdr>
        <w:rPr>
          <w:rFonts w:ascii="Cambria" w:eastAsia="Cambria" w:hAnsi="Cambria" w:cs="Cambria"/>
          <w:color w:val="000000"/>
        </w:rPr>
      </w:pPr>
    </w:p>
    <w:p w14:paraId="000003FB" w14:textId="2BF3004A"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Research and writing always take considerably longer than anticipated. Include time for both in your schedule. The demands and requirements of clinical and academic work do not constitute valid excuses for failing to adhere to the schedule and requirements of the Second-</w:t>
      </w:r>
      <w:r w:rsidR="00DA169F">
        <w:rPr>
          <w:rFonts w:ascii="Cambria" w:eastAsia="Cambria" w:hAnsi="Cambria" w:cs="Cambria"/>
          <w:color w:val="000000"/>
        </w:rPr>
        <w:t>Y</w:t>
      </w:r>
      <w:r>
        <w:rPr>
          <w:rFonts w:ascii="Cambria" w:eastAsia="Cambria" w:hAnsi="Cambria" w:cs="Cambria"/>
          <w:color w:val="000000"/>
        </w:rPr>
        <w:t xml:space="preserve">ear Project. </w:t>
      </w:r>
    </w:p>
    <w:p w14:paraId="000003FC" w14:textId="77777777" w:rsidR="00CD3527" w:rsidRDefault="00CD3527">
      <w:pPr>
        <w:pBdr>
          <w:top w:val="nil"/>
          <w:left w:val="nil"/>
          <w:bottom w:val="nil"/>
          <w:right w:val="nil"/>
          <w:between w:val="nil"/>
        </w:pBdr>
        <w:rPr>
          <w:rFonts w:ascii="Cambria" w:eastAsia="Cambria" w:hAnsi="Cambria" w:cs="Cambria"/>
          <w:color w:val="000000"/>
        </w:rPr>
      </w:pPr>
    </w:p>
    <w:p w14:paraId="000003FD" w14:textId="365D1B78"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u w:val="single"/>
        </w:rPr>
        <w:t>Contingencies:</w:t>
      </w:r>
      <w:r>
        <w:rPr>
          <w:rFonts w:ascii="Cambria" w:eastAsia="Cambria" w:hAnsi="Cambria" w:cs="Cambria"/>
          <w:color w:val="000000"/>
        </w:rPr>
        <w:t xml:space="preserve"> Students, who have not turned in a complete draft of the Project by fall registration in the fourth year, are technically </w:t>
      </w:r>
      <w:r w:rsidR="00F218AA">
        <w:rPr>
          <w:rFonts w:ascii="Cambria" w:eastAsia="Cambria" w:hAnsi="Cambria" w:cs="Cambria"/>
          <w:color w:val="000000"/>
        </w:rPr>
        <w:t>“</w:t>
      </w:r>
      <w:r>
        <w:rPr>
          <w:rFonts w:ascii="Cambria" w:eastAsia="Cambria" w:hAnsi="Cambria" w:cs="Cambria"/>
          <w:color w:val="000000"/>
        </w:rPr>
        <w:t>not in good standing</w:t>
      </w:r>
      <w:r w:rsidR="00F218AA">
        <w:rPr>
          <w:rFonts w:ascii="Cambria" w:eastAsia="Cambria" w:hAnsi="Cambria" w:cs="Cambria"/>
          <w:color w:val="000000"/>
        </w:rPr>
        <w:t>”</w:t>
      </w:r>
      <w:r>
        <w:rPr>
          <w:rFonts w:ascii="Cambria" w:eastAsia="Cambria" w:hAnsi="Cambria" w:cs="Cambria"/>
          <w:color w:val="000000"/>
        </w:rPr>
        <w:t xml:space="preserve"> and letters of recommendation (for externships, etc.) cannot state otherwise. </w:t>
      </w:r>
      <w:r>
        <w:rPr>
          <w:rFonts w:ascii="Cambria" w:eastAsia="Cambria" w:hAnsi="Cambria" w:cs="Cambria"/>
          <w:color w:val="000000"/>
        </w:rPr>
        <w:br/>
      </w:r>
      <w:r>
        <w:rPr>
          <w:rFonts w:ascii="Cambria" w:eastAsia="Cambria" w:hAnsi="Cambria" w:cs="Cambria"/>
          <w:color w:val="000000"/>
        </w:rPr>
        <w:br/>
      </w:r>
      <w:r>
        <w:rPr>
          <w:rFonts w:ascii="Cambria" w:eastAsia="Cambria" w:hAnsi="Cambria" w:cs="Cambria"/>
          <w:color w:val="000000"/>
          <w:u w:val="single"/>
        </w:rPr>
        <w:t>Alternatives:</w:t>
      </w:r>
      <w:r>
        <w:rPr>
          <w:rFonts w:ascii="Cambria" w:eastAsia="Cambria" w:hAnsi="Cambria" w:cs="Cambria"/>
          <w:color w:val="000000"/>
        </w:rPr>
        <w:t xml:space="preserve"> Students who have previously completed an empirical Master</w:t>
      </w:r>
      <w:r w:rsidR="00F218AA">
        <w:rPr>
          <w:rFonts w:ascii="Cambria" w:eastAsia="Cambria" w:hAnsi="Cambria" w:cs="Cambria"/>
          <w:color w:val="000000"/>
        </w:rPr>
        <w:t>’</w:t>
      </w:r>
      <w:r>
        <w:rPr>
          <w:rFonts w:ascii="Cambria" w:eastAsia="Cambria" w:hAnsi="Cambria" w:cs="Cambria"/>
          <w:color w:val="000000"/>
        </w:rPr>
        <w:t>s Degree thesis</w:t>
      </w:r>
      <w:r w:rsidR="00CA52E5">
        <w:rPr>
          <w:rFonts w:ascii="Cambria" w:eastAsia="Cambria" w:hAnsi="Cambria" w:cs="Cambria"/>
          <w:color w:val="000000"/>
        </w:rPr>
        <w:t xml:space="preserve"> </w:t>
      </w:r>
      <w:r>
        <w:rPr>
          <w:rFonts w:ascii="Cambria" w:eastAsia="Cambria" w:hAnsi="Cambria" w:cs="Cambria"/>
          <w:color w:val="000000"/>
        </w:rPr>
        <w:t>that meet</w:t>
      </w:r>
      <w:r w:rsidR="00CA52E5">
        <w:rPr>
          <w:rFonts w:ascii="Cambria" w:eastAsia="Cambria" w:hAnsi="Cambria" w:cs="Cambria"/>
          <w:color w:val="000000"/>
        </w:rPr>
        <w:t>s</w:t>
      </w:r>
      <w:r>
        <w:rPr>
          <w:rFonts w:ascii="Cambria" w:eastAsia="Cambria" w:hAnsi="Cambria" w:cs="Cambria"/>
          <w:color w:val="000000"/>
        </w:rPr>
        <w:t xml:space="preserve"> the above requirements- may submit it to their advisors as part of this requirement. The thesis must meet standards of the Clinical Program as determined by your advisor.  Thus, advisors may require t</w:t>
      </w:r>
      <w:r w:rsidR="00CA52E5">
        <w:rPr>
          <w:rFonts w:ascii="Cambria" w:eastAsia="Cambria" w:hAnsi="Cambria" w:cs="Cambria"/>
          <w:color w:val="000000"/>
        </w:rPr>
        <w:t>his</w:t>
      </w:r>
      <w:r>
        <w:rPr>
          <w:rFonts w:ascii="Cambria" w:eastAsia="Cambria" w:hAnsi="Cambria" w:cs="Cambria"/>
          <w:color w:val="000000"/>
        </w:rPr>
        <w:t xml:space="preserve"> thes</w:t>
      </w:r>
      <w:r w:rsidR="00CA52E5">
        <w:rPr>
          <w:rFonts w:ascii="Cambria" w:eastAsia="Cambria" w:hAnsi="Cambria" w:cs="Cambria"/>
          <w:color w:val="000000"/>
        </w:rPr>
        <w:t>i</w:t>
      </w:r>
      <w:r w:rsidR="00CF7033">
        <w:rPr>
          <w:rFonts w:ascii="Cambria" w:eastAsia="Cambria" w:hAnsi="Cambria" w:cs="Cambria"/>
          <w:color w:val="000000"/>
        </w:rPr>
        <w:t>s</w:t>
      </w:r>
      <w:r>
        <w:rPr>
          <w:rFonts w:ascii="Cambria" w:eastAsia="Cambria" w:hAnsi="Cambria" w:cs="Cambria"/>
          <w:color w:val="000000"/>
        </w:rPr>
        <w:t xml:space="preserve"> to be modified (perhaps substantially) before </w:t>
      </w:r>
      <w:r w:rsidR="00CA52E5">
        <w:rPr>
          <w:rFonts w:ascii="Cambria" w:eastAsia="Cambria" w:hAnsi="Cambria" w:cs="Cambria"/>
          <w:color w:val="000000"/>
        </w:rPr>
        <w:t>it is</w:t>
      </w:r>
      <w:r>
        <w:rPr>
          <w:rFonts w:ascii="Cambria" w:eastAsia="Cambria" w:hAnsi="Cambria" w:cs="Cambria"/>
          <w:color w:val="000000"/>
        </w:rPr>
        <w:t xml:space="preserve"> considered acceptable. </w:t>
      </w:r>
    </w:p>
    <w:p w14:paraId="000003FE" w14:textId="77777777" w:rsidR="00CD3527" w:rsidRDefault="007F4AED">
      <w:pPr>
        <w:pStyle w:val="Heading2"/>
      </w:pPr>
      <w:bookmarkStart w:id="49" w:name="_heading=h.28h4qwu" w:colFirst="0" w:colLast="0"/>
      <w:bookmarkEnd w:id="49"/>
      <w:r>
        <w:br w:type="page"/>
      </w:r>
      <w:r>
        <w:lastRenderedPageBreak/>
        <w:t>Third Year</w:t>
      </w:r>
    </w:p>
    <w:p w14:paraId="000003FF" w14:textId="77777777" w:rsidR="00CD3527" w:rsidRDefault="007F4AED">
      <w:pPr>
        <w:pStyle w:val="Heading3"/>
      </w:pPr>
      <w:bookmarkStart w:id="50" w:name="_heading=h.nmf14n" w:colFirst="0" w:colLast="0"/>
      <w:bookmarkEnd w:id="50"/>
      <w:r>
        <w:t>Fall Semester</w:t>
      </w:r>
    </w:p>
    <w:p w14:paraId="00000400" w14:textId="77777777" w:rsidR="00CD3527" w:rsidRDefault="00CD3527">
      <w:pPr>
        <w:pBdr>
          <w:top w:val="nil"/>
          <w:left w:val="nil"/>
          <w:bottom w:val="nil"/>
          <w:right w:val="nil"/>
          <w:between w:val="nil"/>
        </w:pBdr>
        <w:rPr>
          <w:rFonts w:ascii="Cambria" w:eastAsia="Cambria" w:hAnsi="Cambria" w:cs="Cambria"/>
          <w:color w:val="000000"/>
        </w:rPr>
      </w:pPr>
    </w:p>
    <w:tbl>
      <w:tblPr>
        <w:tblStyle w:val="a6"/>
        <w:tblW w:w="90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901"/>
        <w:gridCol w:w="1440"/>
        <w:gridCol w:w="2070"/>
        <w:gridCol w:w="648"/>
      </w:tblGrid>
      <w:tr w:rsidR="005A675B" w14:paraId="0C72386F" w14:textId="77777777">
        <w:trPr>
          <w:trHeight w:val="540"/>
        </w:trPr>
        <w:tc>
          <w:tcPr>
            <w:tcW w:w="4901" w:type="dxa"/>
            <w:vAlign w:val="center"/>
          </w:tcPr>
          <w:p w14:paraId="437B7DF3" w14:textId="5BEB5529" w:rsidR="005A675B" w:rsidRDefault="005A675B" w:rsidP="005A675B">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6020 History and Systems of Psychology</w:t>
            </w:r>
          </w:p>
        </w:tc>
        <w:tc>
          <w:tcPr>
            <w:tcW w:w="1440" w:type="dxa"/>
            <w:vAlign w:val="center"/>
          </w:tcPr>
          <w:p w14:paraId="739BB73B" w14:textId="17E36228" w:rsidR="005A675B" w:rsidRDefault="005A675B" w:rsidP="005A675B">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Kuras</w:t>
            </w:r>
          </w:p>
        </w:tc>
        <w:tc>
          <w:tcPr>
            <w:tcW w:w="2070" w:type="dxa"/>
            <w:vAlign w:val="center"/>
          </w:tcPr>
          <w:p w14:paraId="37D1381D" w14:textId="033FDA65" w:rsidR="005A675B" w:rsidRDefault="006F0FC2" w:rsidP="005A675B">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TBD</w:t>
            </w:r>
          </w:p>
        </w:tc>
        <w:tc>
          <w:tcPr>
            <w:tcW w:w="648" w:type="dxa"/>
            <w:vAlign w:val="center"/>
          </w:tcPr>
          <w:p w14:paraId="706276BE" w14:textId="051B1BFC" w:rsidR="005A675B" w:rsidRDefault="005A675B" w:rsidP="005A675B">
            <w:p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3</w:t>
            </w:r>
          </w:p>
        </w:tc>
      </w:tr>
      <w:tr w:rsidR="005A675B" w14:paraId="7637A46C" w14:textId="77777777">
        <w:trPr>
          <w:trHeight w:val="540"/>
        </w:trPr>
        <w:tc>
          <w:tcPr>
            <w:tcW w:w="4901" w:type="dxa"/>
            <w:vAlign w:val="center"/>
          </w:tcPr>
          <w:p w14:paraId="7D85E433" w14:textId="2B227491" w:rsidR="005A675B" w:rsidRDefault="005A675B" w:rsidP="005A675B">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HUDM 5059 Psychological Measurement</w:t>
            </w:r>
          </w:p>
        </w:tc>
        <w:tc>
          <w:tcPr>
            <w:tcW w:w="1440" w:type="dxa"/>
            <w:vAlign w:val="center"/>
          </w:tcPr>
          <w:p w14:paraId="14906540" w14:textId="36AF0CAE" w:rsidR="005A675B" w:rsidRDefault="005A675B" w:rsidP="005A675B">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Faculty</w:t>
            </w:r>
          </w:p>
        </w:tc>
        <w:tc>
          <w:tcPr>
            <w:tcW w:w="2070" w:type="dxa"/>
            <w:vAlign w:val="center"/>
          </w:tcPr>
          <w:p w14:paraId="0289114F" w14:textId="486375E3" w:rsidR="005A675B" w:rsidRDefault="005A675B" w:rsidP="005A675B">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M &amp; T 3-4:40</w:t>
            </w:r>
          </w:p>
        </w:tc>
        <w:tc>
          <w:tcPr>
            <w:tcW w:w="648" w:type="dxa"/>
            <w:vAlign w:val="center"/>
          </w:tcPr>
          <w:p w14:paraId="5F69BAFF" w14:textId="4EE461AF" w:rsidR="005A675B" w:rsidRDefault="005A675B" w:rsidP="005A675B">
            <w:p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3</w:t>
            </w:r>
          </w:p>
        </w:tc>
      </w:tr>
      <w:tr w:rsidR="005A675B" w14:paraId="3F89829D" w14:textId="77777777">
        <w:trPr>
          <w:trHeight w:val="540"/>
        </w:trPr>
        <w:tc>
          <w:tcPr>
            <w:tcW w:w="4901" w:type="dxa"/>
            <w:vAlign w:val="center"/>
          </w:tcPr>
          <w:p w14:paraId="00000401" w14:textId="77777777" w:rsidR="005A675B" w:rsidRDefault="005A675B" w:rsidP="005A675B">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6336 Advanced Practicum (Choose 2 Rotations)</w:t>
            </w:r>
          </w:p>
        </w:tc>
        <w:tc>
          <w:tcPr>
            <w:tcW w:w="1440" w:type="dxa"/>
            <w:vAlign w:val="center"/>
          </w:tcPr>
          <w:p w14:paraId="00000402" w14:textId="77777777" w:rsidR="005A675B" w:rsidRDefault="005A675B" w:rsidP="005A675B">
            <w:pPr>
              <w:pBdr>
                <w:top w:val="nil"/>
                <w:left w:val="nil"/>
                <w:bottom w:val="nil"/>
                <w:right w:val="nil"/>
                <w:between w:val="nil"/>
              </w:pBdr>
              <w:rPr>
                <w:rFonts w:ascii="Cambria" w:eastAsia="Cambria" w:hAnsi="Cambria" w:cs="Cambria"/>
                <w:color w:val="000000"/>
              </w:rPr>
            </w:pPr>
          </w:p>
        </w:tc>
        <w:tc>
          <w:tcPr>
            <w:tcW w:w="2070" w:type="dxa"/>
            <w:vAlign w:val="center"/>
          </w:tcPr>
          <w:p w14:paraId="00000403" w14:textId="77777777" w:rsidR="005A675B" w:rsidRDefault="005A675B" w:rsidP="005A675B">
            <w:pPr>
              <w:pBdr>
                <w:top w:val="nil"/>
                <w:left w:val="nil"/>
                <w:bottom w:val="nil"/>
                <w:right w:val="nil"/>
                <w:between w:val="nil"/>
              </w:pBdr>
              <w:rPr>
                <w:rFonts w:ascii="Cambria" w:eastAsia="Cambria" w:hAnsi="Cambria" w:cs="Cambria"/>
                <w:color w:val="000000"/>
              </w:rPr>
            </w:pPr>
          </w:p>
        </w:tc>
        <w:tc>
          <w:tcPr>
            <w:tcW w:w="648" w:type="dxa"/>
            <w:vAlign w:val="center"/>
          </w:tcPr>
          <w:p w14:paraId="00000404" w14:textId="77777777" w:rsidR="005A675B" w:rsidRDefault="005A675B" w:rsidP="005A675B">
            <w:pPr>
              <w:pBdr>
                <w:top w:val="nil"/>
                <w:left w:val="nil"/>
                <w:bottom w:val="nil"/>
                <w:right w:val="nil"/>
                <w:between w:val="nil"/>
              </w:pBdr>
              <w:rPr>
                <w:rFonts w:ascii="Cambria" w:eastAsia="Cambria" w:hAnsi="Cambria" w:cs="Cambria"/>
                <w:color w:val="000000"/>
              </w:rPr>
            </w:pPr>
            <w:r>
              <w:rPr>
                <w:rFonts w:ascii="Cambria" w:eastAsia="Cambria" w:hAnsi="Cambria" w:cs="Cambria"/>
                <w:b/>
                <w:color w:val="000000"/>
              </w:rPr>
              <w:t>6</w:t>
            </w:r>
          </w:p>
        </w:tc>
      </w:tr>
      <w:tr w:rsidR="005A675B" w14:paraId="19648D8A" w14:textId="77777777">
        <w:trPr>
          <w:trHeight w:val="540"/>
        </w:trPr>
        <w:tc>
          <w:tcPr>
            <w:tcW w:w="4901" w:type="dxa"/>
            <w:vAlign w:val="center"/>
          </w:tcPr>
          <w:p w14:paraId="00000405" w14:textId="77777777" w:rsidR="005A675B" w:rsidRDefault="005A675B" w:rsidP="005A675B">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6336.04 Advanced Practicum: CBT</w:t>
            </w:r>
          </w:p>
        </w:tc>
        <w:tc>
          <w:tcPr>
            <w:tcW w:w="1440" w:type="dxa"/>
            <w:vAlign w:val="center"/>
          </w:tcPr>
          <w:p w14:paraId="00000406" w14:textId="77777777" w:rsidR="005A675B" w:rsidRDefault="005A675B" w:rsidP="005A675B">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Woodruff</w:t>
            </w:r>
          </w:p>
        </w:tc>
        <w:tc>
          <w:tcPr>
            <w:tcW w:w="2070" w:type="dxa"/>
            <w:vAlign w:val="center"/>
          </w:tcPr>
          <w:p w14:paraId="00000407" w14:textId="77777777" w:rsidR="005A675B" w:rsidRDefault="005A675B" w:rsidP="005A675B">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R 9:00-10:40</w:t>
            </w:r>
          </w:p>
        </w:tc>
        <w:tc>
          <w:tcPr>
            <w:tcW w:w="648" w:type="dxa"/>
            <w:vAlign w:val="center"/>
          </w:tcPr>
          <w:p w14:paraId="00000408" w14:textId="77777777" w:rsidR="005A675B" w:rsidRDefault="005A675B" w:rsidP="005A675B">
            <w:pPr>
              <w:pBdr>
                <w:top w:val="nil"/>
                <w:left w:val="nil"/>
                <w:bottom w:val="nil"/>
                <w:right w:val="nil"/>
                <w:between w:val="nil"/>
              </w:pBdr>
              <w:rPr>
                <w:rFonts w:ascii="Cambria" w:eastAsia="Cambria" w:hAnsi="Cambria" w:cs="Cambria"/>
                <w:color w:val="000000"/>
              </w:rPr>
            </w:pPr>
          </w:p>
        </w:tc>
      </w:tr>
      <w:tr w:rsidR="005A675B" w14:paraId="4196AC11" w14:textId="77777777">
        <w:trPr>
          <w:trHeight w:val="540"/>
        </w:trPr>
        <w:tc>
          <w:tcPr>
            <w:tcW w:w="4901" w:type="dxa"/>
            <w:vAlign w:val="center"/>
          </w:tcPr>
          <w:p w14:paraId="00000409" w14:textId="77777777" w:rsidR="005A675B" w:rsidRDefault="005A675B" w:rsidP="005A675B">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6336.02 Advanced Practicum: Introduction to Neuropsychology</w:t>
            </w:r>
          </w:p>
        </w:tc>
        <w:tc>
          <w:tcPr>
            <w:tcW w:w="1440" w:type="dxa"/>
            <w:vAlign w:val="center"/>
          </w:tcPr>
          <w:p w14:paraId="0000040A" w14:textId="77777777" w:rsidR="005A675B" w:rsidRDefault="005A675B" w:rsidP="005A675B">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Cole</w:t>
            </w:r>
          </w:p>
        </w:tc>
        <w:tc>
          <w:tcPr>
            <w:tcW w:w="2070" w:type="dxa"/>
            <w:vAlign w:val="center"/>
          </w:tcPr>
          <w:p w14:paraId="0000040B" w14:textId="77777777" w:rsidR="005A675B" w:rsidRDefault="005A675B" w:rsidP="005A675B">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W 5:10-6:50</w:t>
            </w:r>
          </w:p>
        </w:tc>
        <w:tc>
          <w:tcPr>
            <w:tcW w:w="648" w:type="dxa"/>
            <w:vAlign w:val="center"/>
          </w:tcPr>
          <w:p w14:paraId="0000040C" w14:textId="77777777" w:rsidR="005A675B" w:rsidRDefault="005A675B" w:rsidP="005A675B">
            <w:pPr>
              <w:pBdr>
                <w:top w:val="nil"/>
                <w:left w:val="nil"/>
                <w:bottom w:val="nil"/>
                <w:right w:val="nil"/>
                <w:between w:val="nil"/>
              </w:pBdr>
              <w:rPr>
                <w:rFonts w:ascii="Cambria" w:eastAsia="Cambria" w:hAnsi="Cambria" w:cs="Cambria"/>
                <w:color w:val="000000"/>
              </w:rPr>
            </w:pPr>
          </w:p>
        </w:tc>
      </w:tr>
      <w:tr w:rsidR="005A675B" w14:paraId="49B37DE2" w14:textId="77777777">
        <w:trPr>
          <w:trHeight w:val="540"/>
        </w:trPr>
        <w:tc>
          <w:tcPr>
            <w:tcW w:w="4901" w:type="dxa"/>
            <w:vAlign w:val="center"/>
          </w:tcPr>
          <w:p w14:paraId="00000411" w14:textId="77777777" w:rsidR="005A675B" w:rsidRDefault="005A675B" w:rsidP="005A675B">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6336.08 Interpersonal Psychotherapy (IPT)</w:t>
            </w:r>
          </w:p>
        </w:tc>
        <w:tc>
          <w:tcPr>
            <w:tcW w:w="1440" w:type="dxa"/>
            <w:vAlign w:val="center"/>
          </w:tcPr>
          <w:p w14:paraId="00000412" w14:textId="77777777" w:rsidR="005A675B" w:rsidRDefault="005A675B" w:rsidP="005A675B">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Iselin</w:t>
            </w:r>
          </w:p>
        </w:tc>
        <w:tc>
          <w:tcPr>
            <w:tcW w:w="2070" w:type="dxa"/>
            <w:vAlign w:val="center"/>
          </w:tcPr>
          <w:p w14:paraId="00000413" w14:textId="77777777" w:rsidR="005A675B" w:rsidRDefault="005A675B" w:rsidP="005A675B">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M 9:00 – 10:40</w:t>
            </w:r>
          </w:p>
        </w:tc>
        <w:tc>
          <w:tcPr>
            <w:tcW w:w="648" w:type="dxa"/>
            <w:vAlign w:val="center"/>
          </w:tcPr>
          <w:p w14:paraId="00000414" w14:textId="77777777" w:rsidR="005A675B" w:rsidRDefault="005A675B" w:rsidP="005A675B">
            <w:pPr>
              <w:pBdr>
                <w:top w:val="nil"/>
                <w:left w:val="nil"/>
                <w:bottom w:val="nil"/>
                <w:right w:val="nil"/>
                <w:between w:val="nil"/>
              </w:pBdr>
              <w:rPr>
                <w:rFonts w:ascii="Cambria" w:eastAsia="Cambria" w:hAnsi="Cambria" w:cs="Cambria"/>
                <w:color w:val="000000"/>
              </w:rPr>
            </w:pPr>
          </w:p>
        </w:tc>
      </w:tr>
      <w:tr w:rsidR="005A675B" w14:paraId="05F11FE5" w14:textId="77777777">
        <w:trPr>
          <w:trHeight w:val="540"/>
        </w:trPr>
        <w:tc>
          <w:tcPr>
            <w:tcW w:w="4901" w:type="dxa"/>
            <w:vAlign w:val="center"/>
          </w:tcPr>
          <w:p w14:paraId="00000415" w14:textId="77777777" w:rsidR="005A675B" w:rsidRDefault="005A675B" w:rsidP="005A675B">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7500 Dissertation Seminar *</w:t>
            </w:r>
          </w:p>
        </w:tc>
        <w:tc>
          <w:tcPr>
            <w:tcW w:w="1440" w:type="dxa"/>
            <w:vAlign w:val="center"/>
          </w:tcPr>
          <w:p w14:paraId="00000416" w14:textId="77777777" w:rsidR="005A675B" w:rsidRDefault="005A675B" w:rsidP="005A675B">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Faculty</w:t>
            </w:r>
          </w:p>
        </w:tc>
        <w:tc>
          <w:tcPr>
            <w:tcW w:w="2070" w:type="dxa"/>
            <w:vAlign w:val="center"/>
          </w:tcPr>
          <w:p w14:paraId="00000417" w14:textId="77777777" w:rsidR="005A675B" w:rsidRDefault="005A675B" w:rsidP="005A675B">
            <w:pPr>
              <w:pBdr>
                <w:top w:val="nil"/>
                <w:left w:val="nil"/>
                <w:bottom w:val="nil"/>
                <w:right w:val="nil"/>
                <w:between w:val="nil"/>
              </w:pBdr>
              <w:rPr>
                <w:rFonts w:ascii="Cambria" w:eastAsia="Cambria" w:hAnsi="Cambria" w:cs="Cambria"/>
                <w:color w:val="000000"/>
              </w:rPr>
            </w:pPr>
          </w:p>
        </w:tc>
        <w:tc>
          <w:tcPr>
            <w:tcW w:w="648" w:type="dxa"/>
            <w:vAlign w:val="center"/>
          </w:tcPr>
          <w:p w14:paraId="00000418" w14:textId="77777777" w:rsidR="005A675B" w:rsidRDefault="005A675B" w:rsidP="005A675B">
            <w:pPr>
              <w:pBdr>
                <w:top w:val="nil"/>
                <w:left w:val="nil"/>
                <w:bottom w:val="nil"/>
                <w:right w:val="nil"/>
                <w:between w:val="nil"/>
              </w:pBdr>
              <w:rPr>
                <w:rFonts w:ascii="Cambria" w:eastAsia="Cambria" w:hAnsi="Cambria" w:cs="Cambria"/>
                <w:color w:val="000000"/>
              </w:rPr>
            </w:pPr>
            <w:r>
              <w:rPr>
                <w:rFonts w:ascii="Cambria" w:eastAsia="Cambria" w:hAnsi="Cambria" w:cs="Cambria"/>
                <w:b/>
                <w:color w:val="000000"/>
              </w:rPr>
              <w:t>0</w:t>
            </w:r>
          </w:p>
        </w:tc>
      </w:tr>
      <w:tr w:rsidR="005A675B" w14:paraId="0E615109" w14:textId="77777777">
        <w:trPr>
          <w:trHeight w:val="540"/>
        </w:trPr>
        <w:tc>
          <w:tcPr>
            <w:tcW w:w="4901" w:type="dxa"/>
            <w:vAlign w:val="center"/>
          </w:tcPr>
          <w:p w14:paraId="00000419" w14:textId="77777777" w:rsidR="005A675B" w:rsidRDefault="005A675B" w:rsidP="005A675B">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5610 Colloquium</w:t>
            </w:r>
          </w:p>
        </w:tc>
        <w:tc>
          <w:tcPr>
            <w:tcW w:w="1440" w:type="dxa"/>
            <w:vAlign w:val="center"/>
          </w:tcPr>
          <w:p w14:paraId="0000041A" w14:textId="2CF39DEA" w:rsidR="005A675B" w:rsidRDefault="005A675B" w:rsidP="005A675B">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Gaba</w:t>
            </w:r>
          </w:p>
        </w:tc>
        <w:tc>
          <w:tcPr>
            <w:tcW w:w="2070" w:type="dxa"/>
            <w:vAlign w:val="center"/>
          </w:tcPr>
          <w:p w14:paraId="0000041B" w14:textId="77777777" w:rsidR="005A675B" w:rsidRDefault="005A675B" w:rsidP="005A675B">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R 11:00-12:40</w:t>
            </w:r>
          </w:p>
        </w:tc>
        <w:tc>
          <w:tcPr>
            <w:tcW w:w="648" w:type="dxa"/>
            <w:vAlign w:val="center"/>
          </w:tcPr>
          <w:p w14:paraId="0000041C" w14:textId="77777777" w:rsidR="005A675B" w:rsidRDefault="005A675B" w:rsidP="005A675B">
            <w:p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0-1</w:t>
            </w:r>
          </w:p>
        </w:tc>
      </w:tr>
      <w:tr w:rsidR="005A675B" w14:paraId="466E8CA1" w14:textId="77777777">
        <w:trPr>
          <w:trHeight w:val="540"/>
        </w:trPr>
        <w:tc>
          <w:tcPr>
            <w:tcW w:w="4901" w:type="dxa"/>
            <w:vAlign w:val="center"/>
          </w:tcPr>
          <w:p w14:paraId="0000041D" w14:textId="77777777" w:rsidR="005A675B" w:rsidRDefault="005A675B" w:rsidP="005A675B">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5630 Case Conference</w:t>
            </w:r>
          </w:p>
        </w:tc>
        <w:tc>
          <w:tcPr>
            <w:tcW w:w="1440" w:type="dxa"/>
            <w:vAlign w:val="center"/>
          </w:tcPr>
          <w:p w14:paraId="0000041E" w14:textId="77777777" w:rsidR="005A675B" w:rsidRDefault="005A675B" w:rsidP="005A675B">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Rosa</w:t>
            </w:r>
          </w:p>
        </w:tc>
        <w:tc>
          <w:tcPr>
            <w:tcW w:w="2070" w:type="dxa"/>
            <w:vAlign w:val="center"/>
          </w:tcPr>
          <w:p w14:paraId="0000041F" w14:textId="77777777" w:rsidR="005A675B" w:rsidRDefault="005A675B" w:rsidP="005A675B">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W 3:00-4:40</w:t>
            </w:r>
          </w:p>
        </w:tc>
        <w:tc>
          <w:tcPr>
            <w:tcW w:w="648" w:type="dxa"/>
            <w:vAlign w:val="center"/>
          </w:tcPr>
          <w:p w14:paraId="00000420" w14:textId="77777777" w:rsidR="005A675B" w:rsidRDefault="005A675B" w:rsidP="005A675B">
            <w:pPr>
              <w:pBdr>
                <w:top w:val="nil"/>
                <w:left w:val="nil"/>
                <w:bottom w:val="nil"/>
                <w:right w:val="nil"/>
                <w:between w:val="nil"/>
              </w:pBdr>
              <w:rPr>
                <w:rFonts w:ascii="Cambria" w:eastAsia="Cambria" w:hAnsi="Cambria" w:cs="Cambria"/>
                <w:color w:val="000000"/>
              </w:rPr>
            </w:pPr>
            <w:r>
              <w:rPr>
                <w:rFonts w:ascii="Cambria" w:eastAsia="Cambria" w:hAnsi="Cambria" w:cs="Cambria"/>
                <w:b/>
                <w:color w:val="000000"/>
              </w:rPr>
              <w:t>0-1</w:t>
            </w:r>
          </w:p>
        </w:tc>
      </w:tr>
      <w:tr w:rsidR="005A675B" w14:paraId="1A15C579" w14:textId="77777777">
        <w:trPr>
          <w:trHeight w:val="540"/>
        </w:trPr>
        <w:tc>
          <w:tcPr>
            <w:tcW w:w="4901" w:type="dxa"/>
            <w:vAlign w:val="center"/>
          </w:tcPr>
          <w:p w14:paraId="00000421" w14:textId="77777777" w:rsidR="005A675B" w:rsidRDefault="005A675B" w:rsidP="005A675B">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5230 Fieldwork: Externship (if you are on an externship)</w:t>
            </w:r>
          </w:p>
        </w:tc>
        <w:tc>
          <w:tcPr>
            <w:tcW w:w="1440" w:type="dxa"/>
            <w:vAlign w:val="center"/>
          </w:tcPr>
          <w:p w14:paraId="00000422" w14:textId="18FDF340" w:rsidR="005A675B" w:rsidRDefault="005A675B" w:rsidP="005A675B">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Verdeli</w:t>
            </w:r>
          </w:p>
        </w:tc>
        <w:tc>
          <w:tcPr>
            <w:tcW w:w="2070" w:type="dxa"/>
            <w:vAlign w:val="center"/>
          </w:tcPr>
          <w:p w14:paraId="00000423" w14:textId="77777777" w:rsidR="005A675B" w:rsidRDefault="005A675B" w:rsidP="005A675B">
            <w:pPr>
              <w:pBdr>
                <w:top w:val="nil"/>
                <w:left w:val="nil"/>
                <w:bottom w:val="nil"/>
                <w:right w:val="nil"/>
                <w:between w:val="nil"/>
              </w:pBdr>
              <w:rPr>
                <w:rFonts w:ascii="Cambria" w:eastAsia="Cambria" w:hAnsi="Cambria" w:cs="Cambria"/>
                <w:color w:val="000000"/>
              </w:rPr>
            </w:pPr>
          </w:p>
        </w:tc>
        <w:tc>
          <w:tcPr>
            <w:tcW w:w="648" w:type="dxa"/>
            <w:vAlign w:val="center"/>
          </w:tcPr>
          <w:p w14:paraId="00000424" w14:textId="77777777" w:rsidR="005A675B" w:rsidRDefault="005A675B" w:rsidP="005A675B">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0-1</w:t>
            </w:r>
          </w:p>
        </w:tc>
      </w:tr>
      <w:tr w:rsidR="005A675B" w14:paraId="50456349" w14:textId="77777777">
        <w:trPr>
          <w:trHeight w:val="540"/>
        </w:trPr>
        <w:tc>
          <w:tcPr>
            <w:tcW w:w="4901" w:type="dxa"/>
            <w:vAlign w:val="center"/>
          </w:tcPr>
          <w:p w14:paraId="00000425" w14:textId="77777777" w:rsidR="005A675B" w:rsidRDefault="005A675B" w:rsidP="005A675B">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4900 Independent Study (look up particular advisor section)</w:t>
            </w:r>
          </w:p>
        </w:tc>
        <w:tc>
          <w:tcPr>
            <w:tcW w:w="1440" w:type="dxa"/>
            <w:vAlign w:val="center"/>
          </w:tcPr>
          <w:p w14:paraId="00000426" w14:textId="77777777" w:rsidR="005A675B" w:rsidRDefault="005A675B" w:rsidP="005A675B">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Faculty</w:t>
            </w:r>
          </w:p>
        </w:tc>
        <w:tc>
          <w:tcPr>
            <w:tcW w:w="2070" w:type="dxa"/>
            <w:vAlign w:val="center"/>
          </w:tcPr>
          <w:p w14:paraId="00000427" w14:textId="77777777" w:rsidR="005A675B" w:rsidRDefault="005A675B" w:rsidP="005A675B">
            <w:pPr>
              <w:pBdr>
                <w:top w:val="nil"/>
                <w:left w:val="nil"/>
                <w:bottom w:val="nil"/>
                <w:right w:val="nil"/>
                <w:between w:val="nil"/>
              </w:pBdr>
              <w:rPr>
                <w:rFonts w:ascii="Cambria" w:eastAsia="Cambria" w:hAnsi="Cambria" w:cs="Cambria"/>
                <w:color w:val="000000"/>
              </w:rPr>
            </w:pPr>
          </w:p>
        </w:tc>
        <w:tc>
          <w:tcPr>
            <w:tcW w:w="648" w:type="dxa"/>
            <w:vAlign w:val="center"/>
          </w:tcPr>
          <w:p w14:paraId="00000428" w14:textId="77777777" w:rsidR="005A675B" w:rsidRDefault="005A675B" w:rsidP="005A675B">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1-3</w:t>
            </w:r>
          </w:p>
        </w:tc>
      </w:tr>
      <w:tr w:rsidR="005A675B" w14:paraId="10FEC76E" w14:textId="77777777">
        <w:trPr>
          <w:trHeight w:val="540"/>
        </w:trPr>
        <w:tc>
          <w:tcPr>
            <w:tcW w:w="4901" w:type="dxa"/>
            <w:vAlign w:val="center"/>
          </w:tcPr>
          <w:p w14:paraId="00000429" w14:textId="77777777" w:rsidR="005A675B" w:rsidRDefault="005A675B" w:rsidP="005A675B">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5110 Research Apprenticeship (look up particular advisor section)</w:t>
            </w:r>
          </w:p>
        </w:tc>
        <w:tc>
          <w:tcPr>
            <w:tcW w:w="1440" w:type="dxa"/>
            <w:vAlign w:val="center"/>
          </w:tcPr>
          <w:p w14:paraId="0000042A" w14:textId="77777777" w:rsidR="005A675B" w:rsidRDefault="005A675B" w:rsidP="005A675B">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Faculty</w:t>
            </w:r>
          </w:p>
        </w:tc>
        <w:tc>
          <w:tcPr>
            <w:tcW w:w="2070" w:type="dxa"/>
            <w:vAlign w:val="center"/>
          </w:tcPr>
          <w:p w14:paraId="0000042B" w14:textId="77777777" w:rsidR="005A675B" w:rsidRDefault="005A675B" w:rsidP="005A675B">
            <w:pPr>
              <w:pBdr>
                <w:top w:val="nil"/>
                <w:left w:val="nil"/>
                <w:bottom w:val="nil"/>
                <w:right w:val="nil"/>
                <w:between w:val="nil"/>
              </w:pBdr>
              <w:rPr>
                <w:rFonts w:ascii="Cambria" w:eastAsia="Cambria" w:hAnsi="Cambria" w:cs="Cambria"/>
                <w:color w:val="000000"/>
              </w:rPr>
            </w:pPr>
          </w:p>
        </w:tc>
        <w:tc>
          <w:tcPr>
            <w:tcW w:w="648" w:type="dxa"/>
            <w:vAlign w:val="center"/>
          </w:tcPr>
          <w:p w14:paraId="0000042C" w14:textId="77777777" w:rsidR="005A675B" w:rsidRDefault="005A675B" w:rsidP="005A675B">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0-3</w:t>
            </w:r>
          </w:p>
        </w:tc>
      </w:tr>
      <w:tr w:rsidR="005A675B" w14:paraId="19358D9F" w14:textId="77777777">
        <w:trPr>
          <w:trHeight w:val="540"/>
        </w:trPr>
        <w:tc>
          <w:tcPr>
            <w:tcW w:w="4901" w:type="dxa"/>
            <w:vAlign w:val="center"/>
          </w:tcPr>
          <w:p w14:paraId="0000042D" w14:textId="77777777" w:rsidR="005A675B" w:rsidRDefault="005A675B" w:rsidP="005A675B">
            <w:pPr>
              <w:pBdr>
                <w:top w:val="nil"/>
                <w:left w:val="nil"/>
                <w:bottom w:val="nil"/>
                <w:right w:val="nil"/>
                <w:between w:val="nil"/>
              </w:pBdr>
              <w:rPr>
                <w:rFonts w:ascii="Cambria" w:eastAsia="Cambria" w:hAnsi="Cambria" w:cs="Cambria"/>
                <w:color w:val="000000"/>
              </w:rPr>
            </w:pPr>
            <w:r>
              <w:rPr>
                <w:rFonts w:ascii="Cambria" w:eastAsia="Cambria" w:hAnsi="Cambria" w:cs="Cambria"/>
                <w:b/>
                <w:color w:val="000000"/>
              </w:rPr>
              <w:t xml:space="preserve">TOTAL REQUIRED POINTS </w:t>
            </w:r>
          </w:p>
        </w:tc>
        <w:tc>
          <w:tcPr>
            <w:tcW w:w="1440" w:type="dxa"/>
            <w:vAlign w:val="center"/>
          </w:tcPr>
          <w:p w14:paraId="0000042E" w14:textId="77777777" w:rsidR="005A675B" w:rsidRDefault="005A675B" w:rsidP="005A675B">
            <w:pPr>
              <w:pBdr>
                <w:top w:val="nil"/>
                <w:left w:val="nil"/>
                <w:bottom w:val="nil"/>
                <w:right w:val="nil"/>
                <w:between w:val="nil"/>
              </w:pBdr>
              <w:rPr>
                <w:rFonts w:ascii="Cambria" w:eastAsia="Cambria" w:hAnsi="Cambria" w:cs="Cambria"/>
                <w:color w:val="000000"/>
              </w:rPr>
            </w:pPr>
          </w:p>
        </w:tc>
        <w:tc>
          <w:tcPr>
            <w:tcW w:w="2070" w:type="dxa"/>
            <w:vAlign w:val="center"/>
          </w:tcPr>
          <w:p w14:paraId="0000042F" w14:textId="77777777" w:rsidR="005A675B" w:rsidRDefault="005A675B" w:rsidP="005A675B">
            <w:pPr>
              <w:pBdr>
                <w:top w:val="nil"/>
                <w:left w:val="nil"/>
                <w:bottom w:val="nil"/>
                <w:right w:val="nil"/>
                <w:between w:val="nil"/>
              </w:pBdr>
              <w:rPr>
                <w:rFonts w:ascii="Cambria" w:eastAsia="Cambria" w:hAnsi="Cambria" w:cs="Cambria"/>
                <w:color w:val="000000"/>
              </w:rPr>
            </w:pPr>
          </w:p>
        </w:tc>
        <w:tc>
          <w:tcPr>
            <w:tcW w:w="648" w:type="dxa"/>
            <w:vAlign w:val="center"/>
          </w:tcPr>
          <w:p w14:paraId="00000430" w14:textId="77777777" w:rsidR="005A675B" w:rsidRDefault="005A675B" w:rsidP="005A675B">
            <w:pPr>
              <w:pBdr>
                <w:top w:val="nil"/>
                <w:left w:val="nil"/>
                <w:bottom w:val="nil"/>
                <w:right w:val="nil"/>
                <w:between w:val="nil"/>
              </w:pBdr>
              <w:rPr>
                <w:rFonts w:ascii="Cambria" w:eastAsia="Cambria" w:hAnsi="Cambria" w:cs="Cambria"/>
                <w:b/>
                <w:color w:val="000000"/>
              </w:rPr>
            </w:pPr>
          </w:p>
          <w:p w14:paraId="00000431" w14:textId="61699E89" w:rsidR="005A675B" w:rsidRDefault="005A675B" w:rsidP="005A675B">
            <w:p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12</w:t>
            </w:r>
          </w:p>
        </w:tc>
      </w:tr>
    </w:tbl>
    <w:p w14:paraId="00000432"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i/>
          <w:color w:val="000000"/>
        </w:rPr>
        <w:t>* Please consult with the DCT prior to registering for the Dissertation Seminar.</w:t>
      </w:r>
    </w:p>
    <w:p w14:paraId="00000433" w14:textId="77777777" w:rsidR="00CD3527" w:rsidRDefault="007F4AED">
      <w:pPr>
        <w:pStyle w:val="Heading3"/>
      </w:pPr>
      <w:bookmarkStart w:id="51" w:name="_heading=h.37m2jsg" w:colFirst="0" w:colLast="0"/>
      <w:bookmarkEnd w:id="51"/>
      <w:r>
        <w:t>Spring Semester</w:t>
      </w:r>
    </w:p>
    <w:p w14:paraId="00000434" w14:textId="77777777" w:rsidR="00CD3527" w:rsidRDefault="00CD3527">
      <w:pPr>
        <w:pBdr>
          <w:top w:val="nil"/>
          <w:left w:val="nil"/>
          <w:bottom w:val="nil"/>
          <w:right w:val="nil"/>
          <w:between w:val="nil"/>
        </w:pBdr>
        <w:rPr>
          <w:rFonts w:ascii="Cambria" w:eastAsia="Cambria" w:hAnsi="Cambria" w:cs="Cambria"/>
          <w:color w:val="000000"/>
        </w:rPr>
      </w:pPr>
    </w:p>
    <w:tbl>
      <w:tblPr>
        <w:tblStyle w:val="a7"/>
        <w:tblW w:w="90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901"/>
        <w:gridCol w:w="1440"/>
        <w:gridCol w:w="2070"/>
        <w:gridCol w:w="648"/>
      </w:tblGrid>
      <w:tr w:rsidR="00CD3527" w14:paraId="3686CB41" w14:textId="77777777">
        <w:trPr>
          <w:trHeight w:val="540"/>
        </w:trPr>
        <w:tc>
          <w:tcPr>
            <w:tcW w:w="4901" w:type="dxa"/>
            <w:vAlign w:val="center"/>
          </w:tcPr>
          <w:p w14:paraId="00000435"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6336 Advanced Practicum (Second Semester of the 2 Full-Year Practica)</w:t>
            </w:r>
          </w:p>
        </w:tc>
        <w:tc>
          <w:tcPr>
            <w:tcW w:w="1440" w:type="dxa"/>
            <w:vAlign w:val="center"/>
          </w:tcPr>
          <w:p w14:paraId="00000436" w14:textId="77777777" w:rsidR="00CD3527" w:rsidRDefault="00CD3527">
            <w:pPr>
              <w:pBdr>
                <w:top w:val="nil"/>
                <w:left w:val="nil"/>
                <w:bottom w:val="nil"/>
                <w:right w:val="nil"/>
                <w:between w:val="nil"/>
              </w:pBdr>
              <w:rPr>
                <w:rFonts w:ascii="Cambria" w:eastAsia="Cambria" w:hAnsi="Cambria" w:cs="Cambria"/>
                <w:color w:val="000000"/>
              </w:rPr>
            </w:pPr>
          </w:p>
        </w:tc>
        <w:tc>
          <w:tcPr>
            <w:tcW w:w="2070" w:type="dxa"/>
            <w:vAlign w:val="center"/>
          </w:tcPr>
          <w:p w14:paraId="00000437" w14:textId="77777777" w:rsidR="00CD3527" w:rsidRDefault="00CD3527">
            <w:pPr>
              <w:pBdr>
                <w:top w:val="nil"/>
                <w:left w:val="nil"/>
                <w:bottom w:val="nil"/>
                <w:right w:val="nil"/>
                <w:between w:val="nil"/>
              </w:pBdr>
              <w:rPr>
                <w:rFonts w:ascii="Cambria" w:eastAsia="Cambria" w:hAnsi="Cambria" w:cs="Cambria"/>
                <w:color w:val="000000"/>
              </w:rPr>
            </w:pPr>
          </w:p>
        </w:tc>
        <w:tc>
          <w:tcPr>
            <w:tcW w:w="648" w:type="dxa"/>
            <w:vAlign w:val="center"/>
          </w:tcPr>
          <w:p w14:paraId="00000438" w14:textId="77777777" w:rsidR="00CD3527" w:rsidRDefault="007F4AED">
            <w:p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6</w:t>
            </w:r>
          </w:p>
        </w:tc>
      </w:tr>
      <w:tr w:rsidR="00CD3527" w14:paraId="6C3042D2" w14:textId="77777777">
        <w:trPr>
          <w:trHeight w:val="540"/>
        </w:trPr>
        <w:tc>
          <w:tcPr>
            <w:tcW w:w="4901" w:type="dxa"/>
            <w:vAlign w:val="center"/>
          </w:tcPr>
          <w:p w14:paraId="00000439"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6336.04 Advanced Practicum: DBT</w:t>
            </w:r>
          </w:p>
        </w:tc>
        <w:tc>
          <w:tcPr>
            <w:tcW w:w="1440" w:type="dxa"/>
            <w:vAlign w:val="center"/>
          </w:tcPr>
          <w:p w14:paraId="0000043A"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Reynolds</w:t>
            </w:r>
          </w:p>
        </w:tc>
        <w:tc>
          <w:tcPr>
            <w:tcW w:w="2070" w:type="dxa"/>
            <w:vAlign w:val="center"/>
          </w:tcPr>
          <w:p w14:paraId="0000043B"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R 9:00-10:40</w:t>
            </w:r>
          </w:p>
        </w:tc>
        <w:tc>
          <w:tcPr>
            <w:tcW w:w="648" w:type="dxa"/>
            <w:vAlign w:val="center"/>
          </w:tcPr>
          <w:p w14:paraId="0000043C" w14:textId="77777777" w:rsidR="00CD3527" w:rsidRDefault="00CD3527">
            <w:pPr>
              <w:pBdr>
                <w:top w:val="nil"/>
                <w:left w:val="nil"/>
                <w:bottom w:val="nil"/>
                <w:right w:val="nil"/>
                <w:between w:val="nil"/>
              </w:pBdr>
              <w:rPr>
                <w:rFonts w:ascii="Cambria" w:eastAsia="Cambria" w:hAnsi="Cambria" w:cs="Cambria"/>
                <w:color w:val="000000"/>
              </w:rPr>
            </w:pPr>
          </w:p>
        </w:tc>
      </w:tr>
      <w:tr w:rsidR="00CD3527" w14:paraId="128053B3" w14:textId="77777777">
        <w:trPr>
          <w:trHeight w:val="540"/>
        </w:trPr>
        <w:tc>
          <w:tcPr>
            <w:tcW w:w="4901" w:type="dxa"/>
            <w:vAlign w:val="center"/>
          </w:tcPr>
          <w:p w14:paraId="0000043D"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6336.02 Advanced Practicum: Introduction to Neuropsychology</w:t>
            </w:r>
          </w:p>
        </w:tc>
        <w:tc>
          <w:tcPr>
            <w:tcW w:w="1440" w:type="dxa"/>
            <w:vAlign w:val="center"/>
          </w:tcPr>
          <w:p w14:paraId="0000043E"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Cole</w:t>
            </w:r>
          </w:p>
        </w:tc>
        <w:tc>
          <w:tcPr>
            <w:tcW w:w="2070" w:type="dxa"/>
            <w:vAlign w:val="center"/>
          </w:tcPr>
          <w:p w14:paraId="0000043F"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W 5:10-6:50</w:t>
            </w:r>
          </w:p>
        </w:tc>
        <w:tc>
          <w:tcPr>
            <w:tcW w:w="648" w:type="dxa"/>
            <w:vAlign w:val="center"/>
          </w:tcPr>
          <w:p w14:paraId="00000440" w14:textId="77777777" w:rsidR="00CD3527" w:rsidRDefault="00CD3527">
            <w:pPr>
              <w:pBdr>
                <w:top w:val="nil"/>
                <w:left w:val="nil"/>
                <w:bottom w:val="nil"/>
                <w:right w:val="nil"/>
                <w:between w:val="nil"/>
              </w:pBdr>
              <w:rPr>
                <w:rFonts w:ascii="Cambria" w:eastAsia="Cambria" w:hAnsi="Cambria" w:cs="Cambria"/>
                <w:color w:val="000000"/>
              </w:rPr>
            </w:pPr>
          </w:p>
        </w:tc>
      </w:tr>
      <w:tr w:rsidR="00CD3527" w14:paraId="082B76BF" w14:textId="77777777">
        <w:trPr>
          <w:trHeight w:val="540"/>
        </w:trPr>
        <w:tc>
          <w:tcPr>
            <w:tcW w:w="4901" w:type="dxa"/>
            <w:vAlign w:val="center"/>
          </w:tcPr>
          <w:p w14:paraId="00000445"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6336.08 Interpersonal Psychotherapy (IPT)</w:t>
            </w:r>
          </w:p>
        </w:tc>
        <w:tc>
          <w:tcPr>
            <w:tcW w:w="1440" w:type="dxa"/>
            <w:vAlign w:val="center"/>
          </w:tcPr>
          <w:p w14:paraId="00000446"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Iselin</w:t>
            </w:r>
          </w:p>
        </w:tc>
        <w:tc>
          <w:tcPr>
            <w:tcW w:w="2070" w:type="dxa"/>
            <w:vAlign w:val="center"/>
          </w:tcPr>
          <w:p w14:paraId="00000447"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M 9:00 – 10:40</w:t>
            </w:r>
          </w:p>
        </w:tc>
        <w:tc>
          <w:tcPr>
            <w:tcW w:w="648" w:type="dxa"/>
            <w:vAlign w:val="center"/>
          </w:tcPr>
          <w:p w14:paraId="00000448" w14:textId="77777777" w:rsidR="00CD3527" w:rsidRDefault="00CD3527">
            <w:pPr>
              <w:pBdr>
                <w:top w:val="nil"/>
                <w:left w:val="nil"/>
                <w:bottom w:val="nil"/>
                <w:right w:val="nil"/>
                <w:between w:val="nil"/>
              </w:pBdr>
              <w:rPr>
                <w:rFonts w:ascii="Cambria" w:eastAsia="Cambria" w:hAnsi="Cambria" w:cs="Cambria"/>
                <w:color w:val="000000"/>
              </w:rPr>
            </w:pPr>
          </w:p>
        </w:tc>
      </w:tr>
      <w:tr w:rsidR="00CD3527" w14:paraId="067724BA" w14:textId="77777777">
        <w:trPr>
          <w:trHeight w:val="540"/>
        </w:trPr>
        <w:tc>
          <w:tcPr>
            <w:tcW w:w="4901" w:type="dxa"/>
            <w:vAlign w:val="center"/>
          </w:tcPr>
          <w:p w14:paraId="00000449"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CCPX 6333 Practicum in Clinical Supervision &amp; Consultation </w:t>
            </w:r>
          </w:p>
        </w:tc>
        <w:tc>
          <w:tcPr>
            <w:tcW w:w="1440" w:type="dxa"/>
            <w:vAlign w:val="center"/>
          </w:tcPr>
          <w:p w14:paraId="0000044A"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Rosa</w:t>
            </w:r>
          </w:p>
        </w:tc>
        <w:tc>
          <w:tcPr>
            <w:tcW w:w="2070" w:type="dxa"/>
            <w:vAlign w:val="center"/>
          </w:tcPr>
          <w:p w14:paraId="0000044B"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M 1:00-2:40</w:t>
            </w:r>
          </w:p>
        </w:tc>
        <w:tc>
          <w:tcPr>
            <w:tcW w:w="648" w:type="dxa"/>
            <w:vAlign w:val="center"/>
          </w:tcPr>
          <w:p w14:paraId="0000044C" w14:textId="77777777" w:rsidR="00CD3527" w:rsidRDefault="007F4AED">
            <w:p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1</w:t>
            </w:r>
          </w:p>
        </w:tc>
      </w:tr>
      <w:tr w:rsidR="00CD3527" w14:paraId="23C8B4E9" w14:textId="77777777">
        <w:trPr>
          <w:trHeight w:val="540"/>
        </w:trPr>
        <w:tc>
          <w:tcPr>
            <w:tcW w:w="4901" w:type="dxa"/>
            <w:vAlign w:val="center"/>
          </w:tcPr>
          <w:p w14:paraId="0000044D"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lastRenderedPageBreak/>
              <w:t>CCPX 7500 Dissertation Seminar</w:t>
            </w:r>
          </w:p>
        </w:tc>
        <w:tc>
          <w:tcPr>
            <w:tcW w:w="1440" w:type="dxa"/>
            <w:vAlign w:val="center"/>
          </w:tcPr>
          <w:p w14:paraId="0000044E"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Faculty</w:t>
            </w:r>
          </w:p>
        </w:tc>
        <w:tc>
          <w:tcPr>
            <w:tcW w:w="2070" w:type="dxa"/>
            <w:vAlign w:val="center"/>
          </w:tcPr>
          <w:p w14:paraId="0000044F" w14:textId="77777777" w:rsidR="00CD3527" w:rsidRDefault="00CD3527">
            <w:pPr>
              <w:pBdr>
                <w:top w:val="nil"/>
                <w:left w:val="nil"/>
                <w:bottom w:val="nil"/>
                <w:right w:val="nil"/>
                <w:between w:val="nil"/>
              </w:pBdr>
              <w:rPr>
                <w:rFonts w:ascii="Cambria" w:eastAsia="Cambria" w:hAnsi="Cambria" w:cs="Cambria"/>
                <w:color w:val="000000"/>
              </w:rPr>
            </w:pPr>
          </w:p>
        </w:tc>
        <w:tc>
          <w:tcPr>
            <w:tcW w:w="648" w:type="dxa"/>
            <w:vAlign w:val="center"/>
          </w:tcPr>
          <w:p w14:paraId="00000450" w14:textId="77777777" w:rsidR="00CD3527" w:rsidRDefault="007F4AED">
            <w:p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0</w:t>
            </w:r>
          </w:p>
        </w:tc>
      </w:tr>
      <w:tr w:rsidR="00CD3527" w14:paraId="65D1111B" w14:textId="77777777">
        <w:trPr>
          <w:trHeight w:val="540"/>
        </w:trPr>
        <w:tc>
          <w:tcPr>
            <w:tcW w:w="4901" w:type="dxa"/>
            <w:vAlign w:val="center"/>
          </w:tcPr>
          <w:p w14:paraId="00000451"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5610 Colloquium</w:t>
            </w:r>
          </w:p>
        </w:tc>
        <w:tc>
          <w:tcPr>
            <w:tcW w:w="1440" w:type="dxa"/>
            <w:vAlign w:val="center"/>
          </w:tcPr>
          <w:p w14:paraId="00000452" w14:textId="2BF3E821" w:rsidR="00CD3527" w:rsidRDefault="00F218AA">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Gaba</w:t>
            </w:r>
          </w:p>
        </w:tc>
        <w:tc>
          <w:tcPr>
            <w:tcW w:w="2070" w:type="dxa"/>
            <w:vAlign w:val="center"/>
          </w:tcPr>
          <w:p w14:paraId="00000453"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R 11:00-12:40</w:t>
            </w:r>
          </w:p>
        </w:tc>
        <w:tc>
          <w:tcPr>
            <w:tcW w:w="648" w:type="dxa"/>
            <w:vAlign w:val="center"/>
          </w:tcPr>
          <w:p w14:paraId="00000454"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0-1</w:t>
            </w:r>
          </w:p>
        </w:tc>
      </w:tr>
      <w:tr w:rsidR="00CD3527" w14:paraId="208A1712" w14:textId="77777777">
        <w:trPr>
          <w:trHeight w:val="540"/>
        </w:trPr>
        <w:tc>
          <w:tcPr>
            <w:tcW w:w="4901" w:type="dxa"/>
            <w:vAlign w:val="center"/>
          </w:tcPr>
          <w:p w14:paraId="00000455"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5630 Case Conference</w:t>
            </w:r>
          </w:p>
        </w:tc>
        <w:tc>
          <w:tcPr>
            <w:tcW w:w="1440" w:type="dxa"/>
            <w:vAlign w:val="center"/>
          </w:tcPr>
          <w:p w14:paraId="00000456"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Rosa</w:t>
            </w:r>
          </w:p>
        </w:tc>
        <w:tc>
          <w:tcPr>
            <w:tcW w:w="2070" w:type="dxa"/>
            <w:vAlign w:val="center"/>
          </w:tcPr>
          <w:p w14:paraId="00000457"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W 3:00-4:40</w:t>
            </w:r>
          </w:p>
        </w:tc>
        <w:tc>
          <w:tcPr>
            <w:tcW w:w="648" w:type="dxa"/>
            <w:vAlign w:val="center"/>
          </w:tcPr>
          <w:p w14:paraId="00000458"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0-1</w:t>
            </w:r>
          </w:p>
        </w:tc>
      </w:tr>
      <w:tr w:rsidR="00CD3527" w14:paraId="10FEDDA8" w14:textId="77777777">
        <w:trPr>
          <w:trHeight w:val="540"/>
        </w:trPr>
        <w:tc>
          <w:tcPr>
            <w:tcW w:w="4901" w:type="dxa"/>
            <w:vAlign w:val="center"/>
          </w:tcPr>
          <w:p w14:paraId="00000459"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HUDK 6520 Seminar in Life-span Development</w:t>
            </w:r>
          </w:p>
        </w:tc>
        <w:tc>
          <w:tcPr>
            <w:tcW w:w="1440" w:type="dxa"/>
            <w:vAlign w:val="center"/>
          </w:tcPr>
          <w:p w14:paraId="0000045A" w14:textId="77777777" w:rsidR="00CD3527" w:rsidRDefault="009052E7">
            <w:pPr>
              <w:pBdr>
                <w:top w:val="nil"/>
                <w:left w:val="nil"/>
                <w:bottom w:val="nil"/>
                <w:right w:val="nil"/>
                <w:between w:val="nil"/>
              </w:pBdr>
              <w:rPr>
                <w:rFonts w:ascii="Cambria" w:eastAsia="Cambria" w:hAnsi="Cambria" w:cs="Cambria"/>
                <w:color w:val="000000"/>
              </w:rPr>
            </w:pPr>
            <w:sdt>
              <w:sdtPr>
                <w:tag w:val="goog_rdk_2"/>
                <w:id w:val="-649672661"/>
              </w:sdtPr>
              <w:sdtEndPr/>
              <w:sdtContent/>
            </w:sdt>
            <w:sdt>
              <w:sdtPr>
                <w:tag w:val="goog_rdk_3"/>
                <w:id w:val="-2118911298"/>
              </w:sdtPr>
              <w:sdtEndPr/>
              <w:sdtContent/>
            </w:sdt>
            <w:sdt>
              <w:sdtPr>
                <w:tag w:val="goog_rdk_4"/>
                <w:id w:val="-896746249"/>
              </w:sdtPr>
              <w:sdtEndPr/>
              <w:sdtContent/>
            </w:sdt>
            <w:r w:rsidR="007F4AED">
              <w:rPr>
                <w:rFonts w:ascii="Cambria" w:eastAsia="Cambria" w:hAnsi="Cambria" w:cs="Cambria"/>
                <w:color w:val="000000"/>
              </w:rPr>
              <w:t>Brooks-Gunn</w:t>
            </w:r>
          </w:p>
        </w:tc>
        <w:tc>
          <w:tcPr>
            <w:tcW w:w="2070" w:type="dxa"/>
            <w:vAlign w:val="center"/>
          </w:tcPr>
          <w:p w14:paraId="0000045B"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T 5:00-6:40</w:t>
            </w:r>
          </w:p>
        </w:tc>
        <w:tc>
          <w:tcPr>
            <w:tcW w:w="648" w:type="dxa"/>
            <w:vAlign w:val="center"/>
          </w:tcPr>
          <w:p w14:paraId="0000045C" w14:textId="77777777" w:rsidR="00CD3527" w:rsidRDefault="007F4AED">
            <w:p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3</w:t>
            </w:r>
          </w:p>
        </w:tc>
      </w:tr>
      <w:tr w:rsidR="00CD3527" w14:paraId="1C8A37F8" w14:textId="77777777">
        <w:trPr>
          <w:trHeight w:val="540"/>
        </w:trPr>
        <w:tc>
          <w:tcPr>
            <w:tcW w:w="4901" w:type="dxa"/>
            <w:vAlign w:val="center"/>
          </w:tcPr>
          <w:p w14:paraId="0000045D"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rPr>
              <w:t>CCPX</w:t>
            </w:r>
            <w:r>
              <w:rPr>
                <w:rFonts w:ascii="Cambria" w:eastAsia="Cambria" w:hAnsi="Cambria" w:cs="Cambria"/>
                <w:color w:val="000000"/>
              </w:rPr>
              <w:t xml:space="preserve"> </w:t>
            </w:r>
            <w:r>
              <w:rPr>
                <w:rFonts w:ascii="Cambria" w:eastAsia="Cambria" w:hAnsi="Cambria" w:cs="Cambria"/>
              </w:rPr>
              <w:t>6278</w:t>
            </w:r>
            <w:r>
              <w:rPr>
                <w:rFonts w:ascii="Cambria" w:eastAsia="Cambria" w:hAnsi="Cambria" w:cs="Cambria"/>
                <w:color w:val="000000"/>
              </w:rPr>
              <w:t xml:space="preserve"> Social Psychology</w:t>
            </w:r>
            <w:r>
              <w:rPr>
                <w:rFonts w:ascii="Cambria" w:eastAsia="Cambria" w:hAnsi="Cambria" w:cs="Cambria"/>
                <w:color w:val="000000"/>
                <w:u w:val="single"/>
              </w:rPr>
              <w:t xml:space="preserve"> </w:t>
            </w:r>
          </w:p>
        </w:tc>
        <w:tc>
          <w:tcPr>
            <w:tcW w:w="1440" w:type="dxa"/>
            <w:vAlign w:val="center"/>
          </w:tcPr>
          <w:p w14:paraId="0000045E"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Livert</w:t>
            </w:r>
          </w:p>
        </w:tc>
        <w:tc>
          <w:tcPr>
            <w:tcW w:w="2070" w:type="dxa"/>
            <w:vAlign w:val="center"/>
          </w:tcPr>
          <w:p w14:paraId="0000045F" w14:textId="1A07BDD3" w:rsidR="00CD3527" w:rsidRDefault="00E92BE0">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R </w:t>
            </w:r>
            <w:r w:rsidR="006055CF">
              <w:rPr>
                <w:rFonts w:ascii="Cambria" w:eastAsia="Cambria" w:hAnsi="Cambria" w:cs="Cambria"/>
                <w:color w:val="000000"/>
              </w:rPr>
              <w:t>3:00</w:t>
            </w:r>
            <w:r w:rsidR="007F4AED">
              <w:rPr>
                <w:rFonts w:ascii="Cambria" w:eastAsia="Cambria" w:hAnsi="Cambria" w:cs="Cambria"/>
                <w:color w:val="000000"/>
              </w:rPr>
              <w:t>-</w:t>
            </w:r>
            <w:r w:rsidR="006055CF">
              <w:rPr>
                <w:rFonts w:ascii="Cambria" w:eastAsia="Cambria" w:hAnsi="Cambria" w:cs="Cambria"/>
                <w:color w:val="000000"/>
              </w:rPr>
              <w:t>4</w:t>
            </w:r>
            <w:r w:rsidR="007F4AED">
              <w:rPr>
                <w:rFonts w:ascii="Cambria" w:eastAsia="Cambria" w:hAnsi="Cambria" w:cs="Cambria"/>
                <w:color w:val="000000"/>
              </w:rPr>
              <w:t>:</w:t>
            </w:r>
            <w:r w:rsidR="006055CF">
              <w:rPr>
                <w:rFonts w:ascii="Cambria" w:eastAsia="Cambria" w:hAnsi="Cambria" w:cs="Cambria"/>
                <w:color w:val="000000"/>
              </w:rPr>
              <w:t>4</w:t>
            </w:r>
            <w:r w:rsidR="007F4AED">
              <w:rPr>
                <w:rFonts w:ascii="Cambria" w:eastAsia="Cambria" w:hAnsi="Cambria" w:cs="Cambria"/>
                <w:color w:val="000000"/>
              </w:rPr>
              <w:t>0</w:t>
            </w:r>
          </w:p>
        </w:tc>
        <w:tc>
          <w:tcPr>
            <w:tcW w:w="648" w:type="dxa"/>
            <w:vAlign w:val="center"/>
          </w:tcPr>
          <w:p w14:paraId="00000460" w14:textId="77777777" w:rsidR="00CD3527" w:rsidRDefault="007F4AED">
            <w:p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3</w:t>
            </w:r>
          </w:p>
        </w:tc>
      </w:tr>
      <w:tr w:rsidR="00CD3527" w14:paraId="7D91F8EF" w14:textId="77777777">
        <w:trPr>
          <w:trHeight w:val="540"/>
        </w:trPr>
        <w:tc>
          <w:tcPr>
            <w:tcW w:w="4901" w:type="dxa"/>
            <w:vAlign w:val="center"/>
          </w:tcPr>
          <w:p w14:paraId="00000461"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5230 Fieldwork: Externship (if you are on an externship)</w:t>
            </w:r>
          </w:p>
        </w:tc>
        <w:tc>
          <w:tcPr>
            <w:tcW w:w="1440" w:type="dxa"/>
            <w:vAlign w:val="center"/>
          </w:tcPr>
          <w:p w14:paraId="00000462" w14:textId="360A0984" w:rsidR="00CD3527" w:rsidRDefault="00F218AA">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Verdeli</w:t>
            </w:r>
          </w:p>
        </w:tc>
        <w:tc>
          <w:tcPr>
            <w:tcW w:w="2070" w:type="dxa"/>
            <w:vAlign w:val="center"/>
          </w:tcPr>
          <w:p w14:paraId="00000463" w14:textId="77777777" w:rsidR="00CD3527" w:rsidRDefault="00CD3527">
            <w:pPr>
              <w:pBdr>
                <w:top w:val="nil"/>
                <w:left w:val="nil"/>
                <w:bottom w:val="nil"/>
                <w:right w:val="nil"/>
                <w:between w:val="nil"/>
              </w:pBdr>
              <w:rPr>
                <w:rFonts w:ascii="Cambria" w:eastAsia="Cambria" w:hAnsi="Cambria" w:cs="Cambria"/>
                <w:color w:val="000000"/>
              </w:rPr>
            </w:pPr>
          </w:p>
        </w:tc>
        <w:tc>
          <w:tcPr>
            <w:tcW w:w="648" w:type="dxa"/>
            <w:vAlign w:val="center"/>
          </w:tcPr>
          <w:p w14:paraId="00000464"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0-1</w:t>
            </w:r>
          </w:p>
        </w:tc>
      </w:tr>
      <w:tr w:rsidR="00CD3527" w14:paraId="6407F2D7" w14:textId="77777777">
        <w:trPr>
          <w:trHeight w:val="540"/>
        </w:trPr>
        <w:tc>
          <w:tcPr>
            <w:tcW w:w="4901" w:type="dxa"/>
            <w:vAlign w:val="center"/>
          </w:tcPr>
          <w:p w14:paraId="00000465"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4900 Independent Study (look up particular advisor section)</w:t>
            </w:r>
          </w:p>
        </w:tc>
        <w:tc>
          <w:tcPr>
            <w:tcW w:w="1440" w:type="dxa"/>
            <w:vAlign w:val="center"/>
          </w:tcPr>
          <w:p w14:paraId="00000466"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Faculty</w:t>
            </w:r>
          </w:p>
        </w:tc>
        <w:tc>
          <w:tcPr>
            <w:tcW w:w="2070" w:type="dxa"/>
            <w:vAlign w:val="center"/>
          </w:tcPr>
          <w:p w14:paraId="00000467" w14:textId="77777777" w:rsidR="00CD3527" w:rsidRDefault="00CD3527">
            <w:pPr>
              <w:pBdr>
                <w:top w:val="nil"/>
                <w:left w:val="nil"/>
                <w:bottom w:val="nil"/>
                <w:right w:val="nil"/>
                <w:between w:val="nil"/>
              </w:pBdr>
              <w:rPr>
                <w:rFonts w:ascii="Cambria" w:eastAsia="Cambria" w:hAnsi="Cambria" w:cs="Cambria"/>
                <w:color w:val="000000"/>
              </w:rPr>
            </w:pPr>
          </w:p>
        </w:tc>
        <w:tc>
          <w:tcPr>
            <w:tcW w:w="648" w:type="dxa"/>
            <w:vAlign w:val="center"/>
          </w:tcPr>
          <w:p w14:paraId="00000468"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1-3</w:t>
            </w:r>
          </w:p>
        </w:tc>
      </w:tr>
      <w:tr w:rsidR="00CD3527" w14:paraId="1FFC126D" w14:textId="77777777">
        <w:trPr>
          <w:trHeight w:val="540"/>
        </w:trPr>
        <w:tc>
          <w:tcPr>
            <w:tcW w:w="4901" w:type="dxa"/>
            <w:vAlign w:val="center"/>
          </w:tcPr>
          <w:p w14:paraId="00000469"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5110 Research Apprenticeship (look up particular advisor section)</w:t>
            </w:r>
          </w:p>
        </w:tc>
        <w:tc>
          <w:tcPr>
            <w:tcW w:w="1440" w:type="dxa"/>
            <w:vAlign w:val="center"/>
          </w:tcPr>
          <w:p w14:paraId="0000046A"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Faculty</w:t>
            </w:r>
          </w:p>
        </w:tc>
        <w:tc>
          <w:tcPr>
            <w:tcW w:w="2070" w:type="dxa"/>
            <w:vAlign w:val="center"/>
          </w:tcPr>
          <w:p w14:paraId="0000046B" w14:textId="77777777" w:rsidR="00CD3527" w:rsidRDefault="00CD3527">
            <w:pPr>
              <w:pBdr>
                <w:top w:val="nil"/>
                <w:left w:val="nil"/>
                <w:bottom w:val="nil"/>
                <w:right w:val="nil"/>
                <w:between w:val="nil"/>
              </w:pBdr>
              <w:rPr>
                <w:rFonts w:ascii="Cambria" w:eastAsia="Cambria" w:hAnsi="Cambria" w:cs="Cambria"/>
                <w:color w:val="000000"/>
              </w:rPr>
            </w:pPr>
          </w:p>
        </w:tc>
        <w:tc>
          <w:tcPr>
            <w:tcW w:w="648" w:type="dxa"/>
            <w:vAlign w:val="center"/>
          </w:tcPr>
          <w:p w14:paraId="0000046C"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0-3</w:t>
            </w:r>
          </w:p>
        </w:tc>
      </w:tr>
      <w:tr w:rsidR="00CD3527" w14:paraId="245B9DCA" w14:textId="77777777">
        <w:trPr>
          <w:trHeight w:val="540"/>
        </w:trPr>
        <w:tc>
          <w:tcPr>
            <w:tcW w:w="4901" w:type="dxa"/>
            <w:vAlign w:val="center"/>
          </w:tcPr>
          <w:p w14:paraId="0000046D"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b/>
                <w:color w:val="000000"/>
              </w:rPr>
              <w:t xml:space="preserve">TOTAL REQUIRED POINTS </w:t>
            </w:r>
          </w:p>
        </w:tc>
        <w:tc>
          <w:tcPr>
            <w:tcW w:w="1440" w:type="dxa"/>
            <w:vAlign w:val="center"/>
          </w:tcPr>
          <w:p w14:paraId="0000046E" w14:textId="77777777" w:rsidR="00CD3527" w:rsidRDefault="00CD3527">
            <w:pPr>
              <w:pBdr>
                <w:top w:val="nil"/>
                <w:left w:val="nil"/>
                <w:bottom w:val="nil"/>
                <w:right w:val="nil"/>
                <w:between w:val="nil"/>
              </w:pBdr>
              <w:rPr>
                <w:rFonts w:ascii="Cambria" w:eastAsia="Cambria" w:hAnsi="Cambria" w:cs="Cambria"/>
                <w:color w:val="000000"/>
              </w:rPr>
            </w:pPr>
          </w:p>
        </w:tc>
        <w:tc>
          <w:tcPr>
            <w:tcW w:w="2070" w:type="dxa"/>
            <w:vAlign w:val="center"/>
          </w:tcPr>
          <w:p w14:paraId="0000046F" w14:textId="77777777" w:rsidR="00CD3527" w:rsidRDefault="00CD3527">
            <w:pPr>
              <w:pBdr>
                <w:top w:val="nil"/>
                <w:left w:val="nil"/>
                <w:bottom w:val="nil"/>
                <w:right w:val="nil"/>
                <w:between w:val="nil"/>
              </w:pBdr>
              <w:rPr>
                <w:rFonts w:ascii="Cambria" w:eastAsia="Cambria" w:hAnsi="Cambria" w:cs="Cambria"/>
                <w:color w:val="000000"/>
              </w:rPr>
            </w:pPr>
          </w:p>
        </w:tc>
        <w:tc>
          <w:tcPr>
            <w:tcW w:w="648" w:type="dxa"/>
            <w:vAlign w:val="center"/>
          </w:tcPr>
          <w:p w14:paraId="00000470" w14:textId="77777777" w:rsidR="00CD3527" w:rsidRDefault="00CD3527">
            <w:pPr>
              <w:pBdr>
                <w:top w:val="nil"/>
                <w:left w:val="nil"/>
                <w:bottom w:val="nil"/>
                <w:right w:val="nil"/>
                <w:between w:val="nil"/>
              </w:pBdr>
              <w:rPr>
                <w:rFonts w:ascii="Cambria" w:eastAsia="Cambria" w:hAnsi="Cambria" w:cs="Cambria"/>
                <w:b/>
                <w:color w:val="000000"/>
              </w:rPr>
            </w:pPr>
          </w:p>
          <w:p w14:paraId="00000471"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b/>
                <w:color w:val="000000"/>
              </w:rPr>
              <w:t>13</w:t>
            </w:r>
          </w:p>
        </w:tc>
      </w:tr>
    </w:tbl>
    <w:p w14:paraId="00000472" w14:textId="77777777" w:rsidR="00CD3527" w:rsidRDefault="00CD3527">
      <w:pPr>
        <w:pBdr>
          <w:top w:val="nil"/>
          <w:left w:val="nil"/>
          <w:bottom w:val="nil"/>
          <w:right w:val="nil"/>
          <w:between w:val="nil"/>
        </w:pBdr>
        <w:rPr>
          <w:rFonts w:ascii="Cambria" w:eastAsia="Cambria" w:hAnsi="Cambria" w:cs="Cambria"/>
          <w:color w:val="000000"/>
        </w:rPr>
      </w:pPr>
    </w:p>
    <w:p w14:paraId="00000473" w14:textId="77777777" w:rsidR="00CD3527" w:rsidRDefault="007F4AED">
      <w:pPr>
        <w:pStyle w:val="Heading3"/>
      </w:pPr>
      <w:bookmarkStart w:id="52" w:name="_heading=h.1mrcu09" w:colFirst="0" w:colLast="0"/>
      <w:bookmarkEnd w:id="52"/>
      <w:r>
        <w:t>Summer A</w:t>
      </w:r>
    </w:p>
    <w:p w14:paraId="00000474" w14:textId="77777777" w:rsidR="00CD3527" w:rsidRDefault="00CD3527">
      <w:pPr>
        <w:pBdr>
          <w:top w:val="nil"/>
          <w:left w:val="nil"/>
          <w:bottom w:val="nil"/>
          <w:right w:val="nil"/>
          <w:between w:val="nil"/>
        </w:pBdr>
        <w:rPr>
          <w:rFonts w:ascii="Cambria" w:eastAsia="Cambria" w:hAnsi="Cambria" w:cs="Cambria"/>
          <w:color w:val="000000"/>
        </w:rPr>
      </w:pPr>
    </w:p>
    <w:tbl>
      <w:tblPr>
        <w:tblStyle w:val="a8"/>
        <w:tblW w:w="90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901"/>
        <w:gridCol w:w="1440"/>
        <w:gridCol w:w="2070"/>
        <w:gridCol w:w="648"/>
      </w:tblGrid>
      <w:tr w:rsidR="00E62CF3" w14:paraId="69C11F14" w14:textId="77777777" w:rsidTr="00B3065A">
        <w:trPr>
          <w:trHeight w:val="540"/>
        </w:trPr>
        <w:tc>
          <w:tcPr>
            <w:tcW w:w="4901" w:type="dxa"/>
            <w:vAlign w:val="center"/>
          </w:tcPr>
          <w:p w14:paraId="00000476" w14:textId="77777777" w:rsidR="00E62CF3" w:rsidRDefault="00E62CF3">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6336 Practicum in Clinical Intervention</w:t>
            </w:r>
          </w:p>
        </w:tc>
        <w:tc>
          <w:tcPr>
            <w:tcW w:w="1440" w:type="dxa"/>
            <w:vAlign w:val="center"/>
          </w:tcPr>
          <w:p w14:paraId="00000477" w14:textId="77777777" w:rsidR="00E62CF3" w:rsidRDefault="00E62CF3">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Faculty as above</w:t>
            </w:r>
          </w:p>
        </w:tc>
        <w:tc>
          <w:tcPr>
            <w:tcW w:w="2070" w:type="dxa"/>
            <w:vAlign w:val="center"/>
          </w:tcPr>
          <w:p w14:paraId="00000478" w14:textId="77777777" w:rsidR="00E62CF3" w:rsidRDefault="00E62CF3">
            <w:pPr>
              <w:pBdr>
                <w:top w:val="nil"/>
                <w:left w:val="nil"/>
                <w:bottom w:val="nil"/>
                <w:right w:val="nil"/>
                <w:between w:val="nil"/>
              </w:pBdr>
              <w:rPr>
                <w:rFonts w:ascii="Cambria" w:eastAsia="Cambria" w:hAnsi="Cambria" w:cs="Cambria"/>
                <w:color w:val="000000"/>
              </w:rPr>
            </w:pPr>
          </w:p>
        </w:tc>
        <w:tc>
          <w:tcPr>
            <w:tcW w:w="648" w:type="dxa"/>
            <w:vAlign w:val="center"/>
          </w:tcPr>
          <w:p w14:paraId="00000479" w14:textId="77777777" w:rsidR="00E62CF3" w:rsidRDefault="00E62CF3">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0-1</w:t>
            </w:r>
          </w:p>
        </w:tc>
      </w:tr>
      <w:tr w:rsidR="00E62CF3" w14:paraId="5D9D62B8" w14:textId="77777777" w:rsidTr="00B3065A">
        <w:trPr>
          <w:trHeight w:val="540"/>
        </w:trPr>
        <w:tc>
          <w:tcPr>
            <w:tcW w:w="4901" w:type="dxa"/>
            <w:vAlign w:val="center"/>
          </w:tcPr>
          <w:p w14:paraId="259FDB3D" w14:textId="0C350450" w:rsidR="00E62CF3" w:rsidRDefault="00E62CF3">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CCPX 5230 Fieldwork: Externship </w:t>
            </w:r>
          </w:p>
        </w:tc>
        <w:tc>
          <w:tcPr>
            <w:tcW w:w="1440" w:type="dxa"/>
            <w:vAlign w:val="center"/>
          </w:tcPr>
          <w:p w14:paraId="00AA678A" w14:textId="7F07EA3A" w:rsidR="00E62CF3" w:rsidRDefault="00E62CF3">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Verdeli</w:t>
            </w:r>
          </w:p>
        </w:tc>
        <w:tc>
          <w:tcPr>
            <w:tcW w:w="2070" w:type="dxa"/>
            <w:vAlign w:val="center"/>
          </w:tcPr>
          <w:p w14:paraId="2452CB56" w14:textId="77777777" w:rsidR="00E62CF3" w:rsidRDefault="00E62CF3">
            <w:pPr>
              <w:pBdr>
                <w:top w:val="nil"/>
                <w:left w:val="nil"/>
                <w:bottom w:val="nil"/>
                <w:right w:val="nil"/>
                <w:between w:val="nil"/>
              </w:pBdr>
              <w:rPr>
                <w:rFonts w:ascii="Cambria" w:eastAsia="Cambria" w:hAnsi="Cambria" w:cs="Cambria"/>
                <w:color w:val="000000"/>
              </w:rPr>
            </w:pPr>
          </w:p>
        </w:tc>
        <w:tc>
          <w:tcPr>
            <w:tcW w:w="648" w:type="dxa"/>
            <w:vAlign w:val="center"/>
          </w:tcPr>
          <w:p w14:paraId="174F708C" w14:textId="528A0024" w:rsidR="00E62CF3" w:rsidRDefault="00E62CF3">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0-1</w:t>
            </w:r>
          </w:p>
        </w:tc>
      </w:tr>
      <w:tr w:rsidR="00E62CF3" w14:paraId="30D23428" w14:textId="77777777" w:rsidTr="00B3065A">
        <w:trPr>
          <w:trHeight w:val="540"/>
        </w:trPr>
        <w:tc>
          <w:tcPr>
            <w:tcW w:w="4901" w:type="dxa"/>
            <w:vAlign w:val="center"/>
          </w:tcPr>
          <w:p w14:paraId="0000047B" w14:textId="77777777" w:rsidR="00E62CF3" w:rsidRDefault="00E62CF3">
            <w:pPr>
              <w:pBdr>
                <w:top w:val="nil"/>
                <w:left w:val="nil"/>
                <w:bottom w:val="nil"/>
                <w:right w:val="nil"/>
                <w:between w:val="nil"/>
              </w:pBdr>
              <w:rPr>
                <w:rFonts w:ascii="Cambria" w:eastAsia="Cambria" w:hAnsi="Cambria" w:cs="Cambria"/>
                <w:color w:val="000000"/>
              </w:rPr>
            </w:pPr>
            <w:r>
              <w:rPr>
                <w:rFonts w:ascii="Cambria" w:eastAsia="Cambria" w:hAnsi="Cambria" w:cs="Cambria"/>
                <w:b/>
                <w:color w:val="000000"/>
              </w:rPr>
              <w:t xml:space="preserve">TOTAL REQUIRED POINTS </w:t>
            </w:r>
          </w:p>
        </w:tc>
        <w:tc>
          <w:tcPr>
            <w:tcW w:w="1440" w:type="dxa"/>
            <w:vAlign w:val="center"/>
          </w:tcPr>
          <w:p w14:paraId="0000047C" w14:textId="77777777" w:rsidR="00E62CF3" w:rsidRDefault="00E62CF3">
            <w:pPr>
              <w:pBdr>
                <w:top w:val="nil"/>
                <w:left w:val="nil"/>
                <w:bottom w:val="nil"/>
                <w:right w:val="nil"/>
                <w:between w:val="nil"/>
              </w:pBdr>
              <w:rPr>
                <w:rFonts w:ascii="Cambria" w:eastAsia="Cambria" w:hAnsi="Cambria" w:cs="Cambria"/>
                <w:color w:val="000000"/>
              </w:rPr>
            </w:pPr>
          </w:p>
        </w:tc>
        <w:tc>
          <w:tcPr>
            <w:tcW w:w="2070" w:type="dxa"/>
            <w:vAlign w:val="center"/>
          </w:tcPr>
          <w:p w14:paraId="0000047D" w14:textId="77777777" w:rsidR="00E62CF3" w:rsidRDefault="00E62CF3">
            <w:pPr>
              <w:pBdr>
                <w:top w:val="nil"/>
                <w:left w:val="nil"/>
                <w:bottom w:val="nil"/>
                <w:right w:val="nil"/>
                <w:between w:val="nil"/>
              </w:pBdr>
              <w:rPr>
                <w:rFonts w:ascii="Cambria" w:eastAsia="Cambria" w:hAnsi="Cambria" w:cs="Cambria"/>
                <w:color w:val="000000"/>
              </w:rPr>
            </w:pPr>
          </w:p>
        </w:tc>
        <w:tc>
          <w:tcPr>
            <w:tcW w:w="648" w:type="dxa"/>
            <w:vAlign w:val="center"/>
          </w:tcPr>
          <w:p w14:paraId="0000047E" w14:textId="77777777" w:rsidR="00E62CF3" w:rsidRDefault="00E62CF3">
            <w:pPr>
              <w:pBdr>
                <w:top w:val="nil"/>
                <w:left w:val="nil"/>
                <w:bottom w:val="nil"/>
                <w:right w:val="nil"/>
                <w:between w:val="nil"/>
              </w:pBdr>
              <w:rPr>
                <w:rFonts w:ascii="Cambria" w:eastAsia="Cambria" w:hAnsi="Cambria" w:cs="Cambria"/>
                <w:color w:val="000000"/>
              </w:rPr>
            </w:pPr>
            <w:r>
              <w:rPr>
                <w:rFonts w:ascii="Cambria" w:eastAsia="Cambria" w:hAnsi="Cambria" w:cs="Cambria"/>
                <w:b/>
                <w:color w:val="000000"/>
              </w:rPr>
              <w:t>0</w:t>
            </w:r>
          </w:p>
        </w:tc>
      </w:tr>
    </w:tbl>
    <w:p w14:paraId="0000047F" w14:textId="77777777" w:rsidR="00CD3527" w:rsidRDefault="00CD3527">
      <w:pPr>
        <w:pBdr>
          <w:top w:val="nil"/>
          <w:left w:val="nil"/>
          <w:bottom w:val="nil"/>
          <w:right w:val="nil"/>
          <w:between w:val="nil"/>
        </w:pBdr>
        <w:rPr>
          <w:rFonts w:ascii="Cambria" w:eastAsia="Cambria" w:hAnsi="Cambria" w:cs="Cambria"/>
          <w:color w:val="000000"/>
        </w:rPr>
      </w:pPr>
    </w:p>
    <w:p w14:paraId="00000480" w14:textId="77777777" w:rsidR="00CD3527" w:rsidRDefault="007F4AED">
      <w:pPr>
        <w:pBdr>
          <w:top w:val="nil"/>
          <w:left w:val="nil"/>
          <w:bottom w:val="nil"/>
          <w:right w:val="nil"/>
          <w:between w:val="nil"/>
        </w:pBdr>
        <w:rPr>
          <w:rFonts w:ascii="Cambria" w:eastAsia="Cambria" w:hAnsi="Cambria" w:cs="Cambria"/>
          <w:color w:val="000000"/>
          <w:u w:val="single"/>
        </w:rPr>
      </w:pPr>
      <w:r>
        <w:rPr>
          <w:rFonts w:ascii="Cambria" w:eastAsia="Cambria" w:hAnsi="Cambria" w:cs="Cambria"/>
          <w:color w:val="000000"/>
          <w:u w:val="single"/>
        </w:rPr>
        <w:t>Additional Third-Year Requirements and Information</w:t>
      </w:r>
    </w:p>
    <w:p w14:paraId="00000481" w14:textId="77777777" w:rsidR="00CD3527" w:rsidRDefault="00CD3527">
      <w:pPr>
        <w:pBdr>
          <w:top w:val="nil"/>
          <w:left w:val="nil"/>
          <w:bottom w:val="nil"/>
          <w:right w:val="nil"/>
          <w:between w:val="nil"/>
        </w:pBdr>
        <w:rPr>
          <w:rFonts w:ascii="Cambria" w:eastAsia="Cambria" w:hAnsi="Cambria" w:cs="Cambria"/>
          <w:color w:val="000000"/>
        </w:rPr>
      </w:pPr>
    </w:p>
    <w:p w14:paraId="00000482"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1. A one-semester course on clinical supervision and consultation in the spring semester (CCPX 6333) is led by Dr. Rosa and involves, in part, her supervising third year students' work with first-year students’ intake cases.</w:t>
      </w:r>
    </w:p>
    <w:p w14:paraId="00000483" w14:textId="3A1BD9D5"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br/>
        <w:t xml:space="preserve">2. </w:t>
      </w:r>
      <w:r>
        <w:rPr>
          <w:rFonts w:ascii="Cambria" w:eastAsia="Cambria" w:hAnsi="Cambria" w:cs="Cambria"/>
          <w:color w:val="000000"/>
          <w:u w:val="single"/>
        </w:rPr>
        <w:t xml:space="preserve">All clinical students must apply for and obtain the Master of Science Degree </w:t>
      </w:r>
      <w:r>
        <w:rPr>
          <w:rFonts w:ascii="Cambria" w:eastAsia="Cambria" w:hAnsi="Cambria" w:cs="Cambria"/>
          <w:color w:val="000000"/>
        </w:rPr>
        <w:t xml:space="preserve">(M.S.). The requirements for this will usually have been met by the time the Second-Year Project has been approved. The non-major course requirements for this degree are generally fulfilled by measurement, developmental (life-span) psychology, and brain and behavior courses; thus, most students should apply for the degree during the first semester of the third year. </w:t>
      </w:r>
      <w:r>
        <w:rPr>
          <w:rFonts w:ascii="Cambria" w:eastAsia="Cambria" w:hAnsi="Cambria" w:cs="Cambria"/>
          <w:i/>
          <w:color w:val="000000"/>
        </w:rPr>
        <w:t>On the M.S. form: The Second-Year Project is not a Master's Essay.</w:t>
      </w:r>
      <w:r>
        <w:rPr>
          <w:rFonts w:ascii="Cambria" w:eastAsia="Cambria" w:hAnsi="Cambria" w:cs="Cambria"/>
          <w:i/>
          <w:color w:val="000000"/>
        </w:rPr>
        <w:br/>
      </w:r>
      <w:r>
        <w:rPr>
          <w:rFonts w:ascii="Cambria" w:eastAsia="Cambria" w:hAnsi="Cambria" w:cs="Cambria"/>
          <w:color w:val="000000"/>
        </w:rPr>
        <w:br/>
        <w:t>3..  During the third-year, students must present (a) their Second</w:t>
      </w:r>
      <w:r w:rsidR="00DA169F">
        <w:rPr>
          <w:rFonts w:ascii="Cambria" w:eastAsia="Cambria" w:hAnsi="Cambria" w:cs="Cambria"/>
          <w:color w:val="000000"/>
        </w:rPr>
        <w:t>-</w:t>
      </w:r>
      <w:r>
        <w:rPr>
          <w:rFonts w:ascii="Cambria" w:eastAsia="Cambria" w:hAnsi="Cambria" w:cs="Cambria"/>
          <w:color w:val="000000"/>
        </w:rPr>
        <w:t xml:space="preserve">Year Project at Colloquium and (b) their clinical work (i.e., a clinical case) at Case Conference. </w:t>
      </w:r>
      <w:r>
        <w:rPr>
          <w:rFonts w:ascii="Cambria" w:eastAsia="Cambria" w:hAnsi="Cambria" w:cs="Cambria"/>
          <w:color w:val="000000"/>
        </w:rPr>
        <w:lastRenderedPageBreak/>
        <w:t xml:space="preserve">Students should coordinate their research presentation with their advisor, and their case conference presentation with their advisor and/or practica instructors and supervisors. </w:t>
      </w:r>
    </w:p>
    <w:p w14:paraId="00000484"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The </w:t>
      </w:r>
      <w:r>
        <w:rPr>
          <w:rFonts w:ascii="Cambria" w:eastAsia="Cambria" w:hAnsi="Cambria" w:cs="Cambria"/>
          <w:color w:val="000000"/>
          <w:u w:val="single"/>
        </w:rPr>
        <w:t>Certification Examination</w:t>
      </w:r>
      <w:r>
        <w:rPr>
          <w:rFonts w:ascii="Cambria" w:eastAsia="Cambria" w:hAnsi="Cambria" w:cs="Cambria"/>
          <w:color w:val="000000"/>
        </w:rPr>
        <w:t xml:space="preserve"> is the Teachers College requirement that corresponds to the qualifying examination in most universities. It currently consists of two parts:</w:t>
      </w:r>
    </w:p>
    <w:p w14:paraId="00000485" w14:textId="598081CA" w:rsidR="00CD3527" w:rsidRDefault="007F4AED">
      <w:pPr>
        <w:numPr>
          <w:ilvl w:val="0"/>
          <w:numId w:val="15"/>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Completion of the Second-Year Project; and presentation of the research project as outlined below.</w:t>
      </w:r>
    </w:p>
    <w:p w14:paraId="00000486" w14:textId="77777777" w:rsidR="00CD3527" w:rsidRDefault="00CD3527">
      <w:pPr>
        <w:pBdr>
          <w:top w:val="nil"/>
          <w:left w:val="nil"/>
          <w:bottom w:val="nil"/>
          <w:right w:val="nil"/>
          <w:between w:val="nil"/>
        </w:pBdr>
        <w:rPr>
          <w:rFonts w:ascii="Cambria" w:eastAsia="Cambria" w:hAnsi="Cambria" w:cs="Cambria"/>
          <w:color w:val="000000"/>
        </w:rPr>
      </w:pPr>
    </w:p>
    <w:p w14:paraId="00000487" w14:textId="3200122D"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4. </w:t>
      </w:r>
      <w:r>
        <w:rPr>
          <w:rFonts w:ascii="Cambria" w:eastAsia="Cambria" w:hAnsi="Cambria" w:cs="Cambria"/>
          <w:color w:val="000000"/>
          <w:u w:val="single"/>
        </w:rPr>
        <w:t>The Master of Philosophy (M. Phil.)</w:t>
      </w:r>
      <w:r>
        <w:rPr>
          <w:rFonts w:ascii="Cambria" w:eastAsia="Cambria" w:hAnsi="Cambria" w:cs="Cambria"/>
          <w:color w:val="000000"/>
        </w:rPr>
        <w:t xml:space="preserve"> degree is awarded by the University to students who have passed the Certification Oral Presentation, completed all academic requirements (i.e., coursework, including CCPX 7500, Dissertation Seminar) except the dissertation, and filed a Program Plan. There are several forms to be completed (available in ODS and online).</w:t>
      </w:r>
      <w:r>
        <w:rPr>
          <w:rFonts w:ascii="Cambria" w:eastAsia="Cambria" w:hAnsi="Cambria" w:cs="Cambria"/>
          <w:color w:val="000000"/>
        </w:rPr>
        <w:br/>
      </w:r>
    </w:p>
    <w:p w14:paraId="00000488" w14:textId="77777777" w:rsidR="00CD3527" w:rsidRDefault="007F4AED">
      <w:pPr>
        <w:pBdr>
          <w:top w:val="nil"/>
          <w:left w:val="nil"/>
          <w:bottom w:val="nil"/>
          <w:right w:val="nil"/>
          <w:between w:val="nil"/>
        </w:pBdr>
        <w:rPr>
          <w:rFonts w:ascii="Cambria" w:eastAsia="Cambria" w:hAnsi="Cambria" w:cs="Cambria"/>
          <w:b/>
          <w:i/>
          <w:color w:val="000000"/>
        </w:rPr>
      </w:pPr>
      <w:r>
        <w:rPr>
          <w:rFonts w:ascii="Cambria" w:eastAsia="Cambria" w:hAnsi="Cambria" w:cs="Cambria"/>
          <w:color w:val="000000"/>
        </w:rPr>
        <w:t xml:space="preserve">5. Externships are common, though not technically required, during the third year. See detailed information on the pages that follow. </w:t>
      </w:r>
      <w:r>
        <w:rPr>
          <w:rFonts w:ascii="Cambria" w:eastAsia="Cambria" w:hAnsi="Cambria" w:cs="Cambria"/>
          <w:b/>
          <w:i/>
          <w:color w:val="000000"/>
        </w:rPr>
        <w:t>You must register for externship (CCPX5230) when you do external clinical work regardless of whether it is part of the “NYNJADOT” matching process.</w:t>
      </w:r>
    </w:p>
    <w:p w14:paraId="00000489" w14:textId="77777777" w:rsidR="00CD3527" w:rsidRDefault="00CD3527">
      <w:pPr>
        <w:pBdr>
          <w:top w:val="nil"/>
          <w:left w:val="nil"/>
          <w:bottom w:val="nil"/>
          <w:right w:val="nil"/>
          <w:between w:val="nil"/>
        </w:pBdr>
        <w:rPr>
          <w:rFonts w:ascii="Cambria" w:eastAsia="Cambria" w:hAnsi="Cambria" w:cs="Cambria"/>
          <w:color w:val="000000"/>
        </w:rPr>
      </w:pPr>
    </w:p>
    <w:p w14:paraId="0000048A"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6. Students can now sign up for </w:t>
      </w:r>
      <w:r>
        <w:rPr>
          <w:rFonts w:ascii="Cambria" w:eastAsia="Cambria" w:hAnsi="Cambria" w:cs="Cambria"/>
          <w:color w:val="000000"/>
          <w:u w:val="single"/>
        </w:rPr>
        <w:t>Advanced Independent Study (CCPX 6900)</w:t>
      </w:r>
      <w:r>
        <w:rPr>
          <w:rFonts w:ascii="Cambria" w:eastAsia="Cambria" w:hAnsi="Cambria" w:cs="Cambria"/>
          <w:color w:val="000000"/>
        </w:rPr>
        <w:t xml:space="preserve"> rather than CCPX 4900 Independent Study. If students have sufficient credits still available and have “advanced” responsibilities and time commitments in their lab, they may, with their advisor’s approval, elect to sign up for this course for either 2 or 3 credits (rather than the usual 1). </w:t>
      </w:r>
    </w:p>
    <w:p w14:paraId="0000048B" w14:textId="77777777" w:rsidR="00CD3527" w:rsidRDefault="00CD3527">
      <w:pPr>
        <w:pBdr>
          <w:top w:val="nil"/>
          <w:left w:val="nil"/>
          <w:bottom w:val="nil"/>
          <w:right w:val="nil"/>
          <w:between w:val="nil"/>
        </w:pBdr>
        <w:rPr>
          <w:rFonts w:ascii="Cambria" w:eastAsia="Cambria" w:hAnsi="Cambria" w:cs="Cambria"/>
          <w:color w:val="000000"/>
        </w:rPr>
      </w:pPr>
    </w:p>
    <w:p w14:paraId="0000048C" w14:textId="47C6227C"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7. Prior to graduation, all students </w:t>
      </w:r>
      <w:r>
        <w:rPr>
          <w:rFonts w:ascii="Cambria" w:eastAsia="Cambria" w:hAnsi="Cambria" w:cs="Cambria"/>
          <w:color w:val="000000"/>
          <w:u w:val="single"/>
        </w:rPr>
        <w:t>must</w:t>
      </w:r>
      <w:r>
        <w:rPr>
          <w:rFonts w:ascii="Cambria" w:eastAsia="Cambria" w:hAnsi="Cambria" w:cs="Cambria"/>
          <w:color w:val="000000"/>
        </w:rPr>
        <w:t xml:space="preserve"> take a course in the </w:t>
      </w:r>
      <w:r>
        <w:rPr>
          <w:rFonts w:ascii="Cambria" w:eastAsia="Cambria" w:hAnsi="Cambria" w:cs="Cambria"/>
          <w:color w:val="000000"/>
          <w:u w:val="single"/>
        </w:rPr>
        <w:t>Detection of Child Abuse</w:t>
      </w:r>
      <w:r>
        <w:rPr>
          <w:rFonts w:ascii="Cambria" w:eastAsia="Cambria" w:hAnsi="Cambria" w:cs="Cambria"/>
          <w:color w:val="000000"/>
        </w:rPr>
        <w:t xml:space="preserve">. This may be taken online through the Mandated Reporter Resource Center: </w:t>
      </w:r>
      <w:hyperlink r:id="rId62">
        <w:r>
          <w:rPr>
            <w:rFonts w:ascii="Cambria" w:eastAsia="Cambria" w:hAnsi="Cambria" w:cs="Cambria"/>
            <w:color w:val="0000FF"/>
            <w:u w:val="single"/>
          </w:rPr>
          <w:t>http://www.nysmandatedreporter.org/</w:t>
        </w:r>
      </w:hyperlink>
    </w:p>
    <w:p w14:paraId="0000048D" w14:textId="77777777" w:rsidR="00CD3527" w:rsidRDefault="00CD3527">
      <w:pPr>
        <w:pBdr>
          <w:top w:val="nil"/>
          <w:left w:val="nil"/>
          <w:bottom w:val="nil"/>
          <w:right w:val="nil"/>
          <w:between w:val="nil"/>
        </w:pBdr>
        <w:rPr>
          <w:rFonts w:ascii="Cambria" w:eastAsia="Cambria" w:hAnsi="Cambria" w:cs="Cambria"/>
          <w:color w:val="000000"/>
        </w:rPr>
      </w:pPr>
    </w:p>
    <w:p w14:paraId="0000048E" w14:textId="77777777" w:rsidR="00CD3527" w:rsidRDefault="00CD3527">
      <w:pPr>
        <w:rPr>
          <w:rFonts w:ascii="Cambria" w:eastAsia="Cambria" w:hAnsi="Cambria" w:cs="Cambria"/>
        </w:rPr>
      </w:pPr>
    </w:p>
    <w:p w14:paraId="0000048F" w14:textId="77777777" w:rsidR="00CD3527" w:rsidRDefault="00CD3527">
      <w:pPr>
        <w:pBdr>
          <w:top w:val="nil"/>
          <w:left w:val="nil"/>
          <w:bottom w:val="nil"/>
          <w:right w:val="nil"/>
          <w:between w:val="nil"/>
        </w:pBdr>
        <w:rPr>
          <w:rFonts w:ascii="Cambria" w:eastAsia="Cambria" w:hAnsi="Cambria" w:cs="Cambria"/>
          <w:color w:val="000000"/>
        </w:rPr>
      </w:pPr>
    </w:p>
    <w:p w14:paraId="00000490" w14:textId="77777777" w:rsidR="00CD3527" w:rsidRDefault="007F4AED">
      <w:pPr>
        <w:pStyle w:val="Heading2"/>
        <w:rPr>
          <w:i w:val="0"/>
          <w:sz w:val="32"/>
          <w:szCs w:val="32"/>
        </w:rPr>
      </w:pPr>
      <w:bookmarkStart w:id="53" w:name="_heading=h.46r0co2" w:colFirst="0" w:colLast="0"/>
      <w:bookmarkEnd w:id="53"/>
      <w:r>
        <w:br w:type="page"/>
      </w:r>
      <w:r>
        <w:rPr>
          <w:i w:val="0"/>
          <w:sz w:val="32"/>
          <w:szCs w:val="32"/>
        </w:rPr>
        <w:lastRenderedPageBreak/>
        <w:t xml:space="preserve">Externship </w:t>
      </w:r>
    </w:p>
    <w:p w14:paraId="00000491" w14:textId="77777777" w:rsidR="00CD3527" w:rsidRDefault="007F4AED">
      <w:pPr>
        <w:pStyle w:val="Heading3"/>
      </w:pPr>
      <w:bookmarkStart w:id="54" w:name="_heading=h.2lwamvv" w:colFirst="0" w:colLast="0"/>
      <w:bookmarkEnd w:id="54"/>
      <w:r>
        <w:t>Overview</w:t>
      </w:r>
    </w:p>
    <w:p w14:paraId="00000492" w14:textId="77777777" w:rsidR="00CD3527" w:rsidRDefault="00CD3527">
      <w:pPr>
        <w:pBdr>
          <w:top w:val="nil"/>
          <w:left w:val="nil"/>
          <w:bottom w:val="nil"/>
          <w:right w:val="nil"/>
          <w:between w:val="nil"/>
        </w:pBdr>
        <w:rPr>
          <w:rFonts w:ascii="Cambria" w:eastAsia="Cambria" w:hAnsi="Cambria" w:cs="Cambria"/>
          <w:color w:val="000000"/>
        </w:rPr>
      </w:pPr>
    </w:p>
    <w:p w14:paraId="00000493" w14:textId="228C7C20"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CCPX 5230 Fieldwork in Clinical Psychology (Externship) (0-1 point each semester). Externships provide clinical experience in approved settings at an appropriate level under appropriate supervision. The program has a responsibility to monitor the student’s professional development through this course such that contact between our </w:t>
      </w:r>
      <w:r w:rsidR="009E0221">
        <w:rPr>
          <w:rFonts w:ascii="Cambria" w:eastAsia="Cambria" w:hAnsi="Cambria" w:cs="Cambria"/>
          <w:color w:val="000000"/>
        </w:rPr>
        <w:t>co-DCTs</w:t>
      </w:r>
      <w:r>
        <w:rPr>
          <w:rFonts w:ascii="Cambria" w:eastAsia="Cambria" w:hAnsi="Cambria" w:cs="Cambria"/>
          <w:color w:val="000000"/>
        </w:rPr>
        <w:t xml:space="preserve"> (Professor</w:t>
      </w:r>
      <w:r w:rsidR="009E0221">
        <w:rPr>
          <w:rFonts w:ascii="Cambria" w:eastAsia="Cambria" w:hAnsi="Cambria" w:cs="Cambria"/>
          <w:color w:val="000000"/>
        </w:rPr>
        <w:t>s</w:t>
      </w:r>
      <w:r>
        <w:rPr>
          <w:rFonts w:ascii="Cambria" w:eastAsia="Cambria" w:hAnsi="Cambria" w:cs="Cambria"/>
          <w:color w:val="000000"/>
        </w:rPr>
        <w:t xml:space="preserve"> </w:t>
      </w:r>
      <w:r w:rsidR="009E0221">
        <w:rPr>
          <w:rFonts w:ascii="Cambria" w:eastAsia="Cambria" w:hAnsi="Cambria" w:cs="Cambria"/>
          <w:color w:val="000000"/>
        </w:rPr>
        <w:t>Farber and Verdeli</w:t>
      </w:r>
      <w:r>
        <w:rPr>
          <w:rFonts w:ascii="Cambria" w:eastAsia="Cambria" w:hAnsi="Cambria" w:cs="Cambria"/>
          <w:color w:val="000000"/>
        </w:rPr>
        <w:t xml:space="preserve">) and the externship site is a required and necessary aspect of this experience. </w:t>
      </w:r>
    </w:p>
    <w:p w14:paraId="00000494" w14:textId="77777777" w:rsidR="00CD3527" w:rsidRDefault="00CD3527">
      <w:pPr>
        <w:pBdr>
          <w:top w:val="nil"/>
          <w:left w:val="nil"/>
          <w:bottom w:val="nil"/>
          <w:right w:val="nil"/>
          <w:between w:val="nil"/>
        </w:pBdr>
        <w:rPr>
          <w:rFonts w:ascii="Cambria" w:eastAsia="Cambria" w:hAnsi="Cambria" w:cs="Cambria"/>
          <w:color w:val="000000"/>
        </w:rPr>
      </w:pPr>
    </w:p>
    <w:p w14:paraId="00000495"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While opting for an externship and registering for the related course (CCPX 5230) technically are elective, in recent years externships have become a de facto requirement for a successful internship match. Some inpatient experience prior to applying for internship seems to be particularly important for those wanting a hospital setting for their internship experience.</w:t>
      </w:r>
      <w:r>
        <w:rPr>
          <w:rFonts w:ascii="Cambria" w:eastAsia="Cambria" w:hAnsi="Cambria" w:cs="Cambria"/>
          <w:color w:val="000000"/>
        </w:rPr>
        <w:br/>
        <w:t xml:space="preserve"> </w:t>
      </w:r>
      <w:r>
        <w:rPr>
          <w:rFonts w:ascii="Cambria" w:eastAsia="Cambria" w:hAnsi="Cambria" w:cs="Cambria"/>
          <w:color w:val="000000"/>
        </w:rPr>
        <w:br/>
        <w:t xml:space="preserve">Students may not have more than one externship experience at any one time. Moreover, </w:t>
      </w:r>
      <w:r>
        <w:rPr>
          <w:rFonts w:ascii="Cambria" w:eastAsia="Cambria" w:hAnsi="Cambria" w:cs="Cambria"/>
          <w:color w:val="000000"/>
          <w:u w:val="single"/>
        </w:rPr>
        <w:t>externship must not exceed more than 16 hours per week during students’ third year, and not exceed 20 hours per week in years four or five</w:t>
      </w:r>
      <w:r>
        <w:rPr>
          <w:rFonts w:ascii="Cambria" w:eastAsia="Cambria" w:hAnsi="Cambria" w:cs="Cambria"/>
          <w:color w:val="000000"/>
        </w:rPr>
        <w:t xml:space="preserve">. </w:t>
      </w:r>
    </w:p>
    <w:p w14:paraId="00000496" w14:textId="77777777" w:rsidR="00CD3527" w:rsidRDefault="00CD3527">
      <w:pPr>
        <w:pBdr>
          <w:top w:val="nil"/>
          <w:left w:val="nil"/>
          <w:bottom w:val="nil"/>
          <w:right w:val="nil"/>
          <w:between w:val="nil"/>
        </w:pBdr>
        <w:rPr>
          <w:rFonts w:ascii="Cambria" w:eastAsia="Cambria" w:hAnsi="Cambria" w:cs="Cambria"/>
          <w:color w:val="000000"/>
        </w:rPr>
      </w:pPr>
    </w:p>
    <w:p w14:paraId="00000497" w14:textId="0282A75A"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b/>
          <w:color w:val="FF0000"/>
        </w:rPr>
        <w:t xml:space="preserve">NOTE: </w:t>
      </w:r>
      <w:r>
        <w:rPr>
          <w:rFonts w:ascii="Cambria" w:eastAsia="Cambria" w:hAnsi="Cambria" w:cs="Cambria"/>
          <w:color w:val="000000"/>
        </w:rPr>
        <w:t>Some externship sites may conduct a background check and/or forensic and drug abuse lab tests. This is a not a mandate and these requirements vary by externship site. Any medical records needed to be retained by the program for purposes of onboarding at an externship are handled by a third party (i.e., Castle Branch). Please contact Professor Becky Reed (</w:t>
      </w:r>
      <w:hyperlink r:id="rId63">
        <w:r>
          <w:rPr>
            <w:rFonts w:ascii="Cambria" w:eastAsia="Cambria" w:hAnsi="Cambria" w:cs="Cambria"/>
            <w:color w:val="0000FF"/>
            <w:u w:val="single"/>
          </w:rPr>
          <w:t>rfr2109@tc.columbia.edu</w:t>
        </w:r>
      </w:hyperlink>
      <w:r>
        <w:rPr>
          <w:rFonts w:ascii="Cambria" w:eastAsia="Cambria" w:hAnsi="Cambria" w:cs="Cambria"/>
          <w:color w:val="000000"/>
        </w:rPr>
        <w:t>) for more information.</w:t>
      </w:r>
    </w:p>
    <w:p w14:paraId="00000498" w14:textId="77777777" w:rsidR="00CD3527" w:rsidRDefault="007F4AED">
      <w:pPr>
        <w:pStyle w:val="Heading3"/>
      </w:pPr>
      <w:bookmarkStart w:id="55" w:name="_heading=h.111kx3o" w:colFirst="0" w:colLast="0"/>
      <w:bookmarkEnd w:id="55"/>
      <w:r>
        <w:t>Readiness</w:t>
      </w:r>
    </w:p>
    <w:p w14:paraId="00000499" w14:textId="77777777" w:rsidR="00CD3527" w:rsidRDefault="00CD3527">
      <w:pPr>
        <w:pBdr>
          <w:top w:val="nil"/>
          <w:left w:val="nil"/>
          <w:bottom w:val="nil"/>
          <w:right w:val="nil"/>
          <w:between w:val="nil"/>
        </w:pBdr>
        <w:tabs>
          <w:tab w:val="left" w:pos="720"/>
          <w:tab w:val="left" w:pos="980"/>
          <w:tab w:val="left" w:pos="2160"/>
          <w:tab w:val="left" w:pos="2960"/>
          <w:tab w:val="left" w:pos="3780"/>
          <w:tab w:val="left" w:pos="4320"/>
          <w:tab w:val="left" w:pos="6480"/>
          <w:tab w:val="left" w:pos="8460"/>
          <w:tab w:val="left" w:pos="8899"/>
        </w:tabs>
        <w:rPr>
          <w:rFonts w:ascii="Cambria" w:eastAsia="Cambria" w:hAnsi="Cambria" w:cs="Cambria"/>
          <w:color w:val="000000"/>
        </w:rPr>
      </w:pPr>
    </w:p>
    <w:p w14:paraId="0000049A" w14:textId="695AE55C"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Readiness for externship is determined through discussion between the student and her or his primary advisor. Readiness for third year externships will be largely contingent upon adequate progress on the student’s Second-year </w:t>
      </w:r>
      <w:r w:rsidR="00DA169F">
        <w:rPr>
          <w:rFonts w:ascii="Cambria" w:eastAsia="Cambria" w:hAnsi="Cambria" w:cs="Cambria"/>
          <w:color w:val="000000"/>
        </w:rPr>
        <w:t>P</w:t>
      </w:r>
      <w:r>
        <w:rPr>
          <w:rFonts w:ascii="Cambria" w:eastAsia="Cambria" w:hAnsi="Cambria" w:cs="Cambria"/>
          <w:color w:val="000000"/>
        </w:rPr>
        <w:t xml:space="preserve">roject; in virtually all cases, this translates to a fully completed draft of the project (see below). </w:t>
      </w:r>
      <w:r>
        <w:rPr>
          <w:rFonts w:ascii="Cambria" w:eastAsia="Cambria" w:hAnsi="Cambria" w:cs="Cambria"/>
          <w:color w:val="000000"/>
          <w:u w:val="single"/>
        </w:rPr>
        <w:t>Each student’s advisor will have significant and final input in this decision</w:t>
      </w:r>
      <w:r>
        <w:rPr>
          <w:rFonts w:ascii="Cambria" w:eastAsia="Cambria" w:hAnsi="Cambria" w:cs="Cambria"/>
          <w:color w:val="000000"/>
        </w:rPr>
        <w:t xml:space="preserve">. </w:t>
      </w:r>
    </w:p>
    <w:p w14:paraId="0000049B" w14:textId="77777777" w:rsidR="00CD3527" w:rsidRDefault="00CD3527">
      <w:pPr>
        <w:pBdr>
          <w:top w:val="nil"/>
          <w:left w:val="nil"/>
          <w:bottom w:val="nil"/>
          <w:right w:val="nil"/>
          <w:between w:val="nil"/>
        </w:pBdr>
        <w:rPr>
          <w:rFonts w:ascii="Cambria" w:eastAsia="Cambria" w:hAnsi="Cambria" w:cs="Cambria"/>
          <w:color w:val="000000"/>
        </w:rPr>
      </w:pPr>
    </w:p>
    <w:p w14:paraId="0000049C" w14:textId="1936768E"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As noted earlier, some students, with the advice and consent of their advisor, will choose to do externships during their third year (assuming completion of the Second-</w:t>
      </w:r>
      <w:r w:rsidR="00BF792A">
        <w:rPr>
          <w:rFonts w:ascii="Cambria" w:eastAsia="Cambria" w:hAnsi="Cambria" w:cs="Cambria"/>
          <w:color w:val="000000"/>
        </w:rPr>
        <w:t>Y</w:t>
      </w:r>
      <w:r>
        <w:rPr>
          <w:rFonts w:ascii="Cambria" w:eastAsia="Cambria" w:hAnsi="Cambria" w:cs="Cambria"/>
          <w:color w:val="000000"/>
        </w:rPr>
        <w:t xml:space="preserve">ear </w:t>
      </w:r>
      <w:r w:rsidR="00DA169F">
        <w:rPr>
          <w:rFonts w:ascii="Cambria" w:eastAsia="Cambria" w:hAnsi="Cambria" w:cs="Cambria"/>
          <w:color w:val="000000"/>
        </w:rPr>
        <w:t>P</w:t>
      </w:r>
      <w:r>
        <w:rPr>
          <w:rFonts w:ascii="Cambria" w:eastAsia="Cambria" w:hAnsi="Cambria" w:cs="Cambria"/>
          <w:color w:val="000000"/>
        </w:rPr>
        <w:t xml:space="preserve">roject) and fourth year. Other students—typically (though not necessarily) those with advisors who have provided substantial funding through grants—will likely do a fourth year (and possibly fifth year) externship), devoting their third year to further work on the lab’s research and their own dissertation. </w:t>
      </w:r>
    </w:p>
    <w:p w14:paraId="0000049D" w14:textId="77777777" w:rsidR="00CD3527" w:rsidRDefault="00CD3527">
      <w:pPr>
        <w:pBdr>
          <w:top w:val="nil"/>
          <w:left w:val="nil"/>
          <w:bottom w:val="nil"/>
          <w:right w:val="nil"/>
          <w:between w:val="nil"/>
        </w:pBdr>
        <w:rPr>
          <w:rFonts w:ascii="Cambria" w:eastAsia="Cambria" w:hAnsi="Cambria" w:cs="Cambria"/>
          <w:color w:val="000000"/>
        </w:rPr>
      </w:pPr>
    </w:p>
    <w:p w14:paraId="0000049E"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At a minimum, an externship placement will only be approved if the student has fulfilled the following conditions:</w:t>
      </w:r>
    </w:p>
    <w:p w14:paraId="0000049F" w14:textId="77777777" w:rsidR="00CD3527" w:rsidRDefault="007F4AED">
      <w:pPr>
        <w:numPr>
          <w:ilvl w:val="0"/>
          <w:numId w:val="5"/>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lastRenderedPageBreak/>
        <w:t>Has completed all required 1</w:t>
      </w:r>
      <w:r>
        <w:rPr>
          <w:rFonts w:ascii="Cambria" w:eastAsia="Cambria" w:hAnsi="Cambria" w:cs="Cambria"/>
          <w:color w:val="000000"/>
          <w:vertAlign w:val="superscript"/>
        </w:rPr>
        <w:t>st</w:t>
      </w:r>
      <w:r>
        <w:rPr>
          <w:rFonts w:ascii="Cambria" w:eastAsia="Cambria" w:hAnsi="Cambria" w:cs="Cambria"/>
          <w:color w:val="000000"/>
        </w:rPr>
        <w:t xml:space="preserve"> and 2</w:t>
      </w:r>
      <w:r>
        <w:rPr>
          <w:rFonts w:ascii="Cambria" w:eastAsia="Cambria" w:hAnsi="Cambria" w:cs="Cambria"/>
          <w:color w:val="000000"/>
          <w:vertAlign w:val="superscript"/>
        </w:rPr>
        <w:t>nd</w:t>
      </w:r>
      <w:r>
        <w:rPr>
          <w:rFonts w:ascii="Cambria" w:eastAsia="Cambria" w:hAnsi="Cambria" w:cs="Cambria"/>
          <w:color w:val="000000"/>
        </w:rPr>
        <w:t xml:space="preserve"> year courses;</w:t>
      </w:r>
    </w:p>
    <w:p w14:paraId="000004A0" w14:textId="77777777" w:rsidR="00CD3527" w:rsidRDefault="007F4AED">
      <w:pPr>
        <w:numPr>
          <w:ilvl w:val="0"/>
          <w:numId w:val="5"/>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Has completed a draft of the Second-Year Project (for third year externships); has completed and filed an approved (final version) of the Second-Year Project (four year and beyond externships);</w:t>
      </w:r>
    </w:p>
    <w:p w14:paraId="000004A1" w14:textId="77777777" w:rsidR="00CD3527" w:rsidRDefault="007F4AED">
      <w:pPr>
        <w:numPr>
          <w:ilvl w:val="0"/>
          <w:numId w:val="5"/>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Has no current course “Incompletes”;</w:t>
      </w:r>
    </w:p>
    <w:p w14:paraId="000004A2" w14:textId="77777777" w:rsidR="00CD3527" w:rsidRDefault="007F4AED">
      <w:pPr>
        <w:numPr>
          <w:ilvl w:val="0"/>
          <w:numId w:val="5"/>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Is in good standing in terms of the requirements of the Dean-Hope Center.</w:t>
      </w:r>
    </w:p>
    <w:p w14:paraId="000004A3" w14:textId="77777777" w:rsidR="00CD3527" w:rsidRDefault="007F4AED">
      <w:pPr>
        <w:pStyle w:val="Heading3"/>
      </w:pPr>
      <w:bookmarkStart w:id="56" w:name="_heading=h.3l18frh" w:colFirst="0" w:colLast="0"/>
      <w:bookmarkEnd w:id="56"/>
      <w:r>
        <w:t>The NYNJADOT Externship Match</w:t>
      </w:r>
    </w:p>
    <w:p w14:paraId="000004A4" w14:textId="77777777" w:rsidR="00CD3527" w:rsidRDefault="00CD3527">
      <w:pPr>
        <w:pBdr>
          <w:top w:val="nil"/>
          <w:left w:val="nil"/>
          <w:bottom w:val="nil"/>
          <w:right w:val="nil"/>
          <w:between w:val="nil"/>
        </w:pBdr>
        <w:rPr>
          <w:rFonts w:ascii="Cambria" w:eastAsia="Cambria" w:hAnsi="Cambria" w:cs="Cambria"/>
          <w:color w:val="000000"/>
        </w:rPr>
      </w:pPr>
    </w:p>
    <w:p w14:paraId="000004A5"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The NY-NJ area has a matching system for most “formal” externships (16-20 hrs).  For our program, that involves fourth year and beyond. </w:t>
      </w:r>
    </w:p>
    <w:p w14:paraId="000004A6" w14:textId="77777777" w:rsidR="00CD3527" w:rsidRDefault="007F4AED">
      <w:pPr>
        <w:pStyle w:val="Heading3"/>
        <w:rPr>
          <w:b w:val="0"/>
        </w:rPr>
      </w:pPr>
      <w:r>
        <w:rPr>
          <w:b w:val="0"/>
        </w:rPr>
        <w:t>PLEASE REFER TO THE NYNJADOT GUIDELINES THAT ARE RELEASED EACH FALL FOR UPDATES TO WHAT IS PRESENTED HEREIN)</w:t>
      </w:r>
    </w:p>
    <w:p w14:paraId="000004A7" w14:textId="77777777" w:rsidR="00CD3527" w:rsidRDefault="00CD3527">
      <w:pPr>
        <w:pBdr>
          <w:top w:val="nil"/>
          <w:left w:val="nil"/>
          <w:bottom w:val="nil"/>
          <w:right w:val="nil"/>
          <w:between w:val="nil"/>
        </w:pBdr>
        <w:rPr>
          <w:rFonts w:ascii="Cambria" w:eastAsia="Cambria" w:hAnsi="Cambria" w:cs="Cambria"/>
          <w:color w:val="000000"/>
        </w:rPr>
      </w:pPr>
    </w:p>
    <w:p w14:paraId="000004A8" w14:textId="77777777" w:rsidR="00CD3527" w:rsidRDefault="007F4AED">
      <w:pPr>
        <w:pBdr>
          <w:top w:val="nil"/>
          <w:left w:val="nil"/>
          <w:bottom w:val="nil"/>
          <w:right w:val="nil"/>
          <w:between w:val="nil"/>
        </w:pBdr>
        <w:rPr>
          <w:rFonts w:ascii="Cambria" w:eastAsia="Cambria" w:hAnsi="Cambria" w:cs="Cambria"/>
          <w:b/>
          <w:i/>
          <w:color w:val="000000"/>
        </w:rPr>
      </w:pPr>
      <w:r>
        <w:rPr>
          <w:rFonts w:ascii="Cambria" w:eastAsia="Cambria" w:hAnsi="Cambria" w:cs="Cambria"/>
          <w:b/>
          <w:i/>
          <w:color w:val="000000"/>
        </w:rPr>
        <w:t>Preparation</w:t>
      </w:r>
    </w:p>
    <w:p w14:paraId="000004A9"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Students will typically begin the externship process in the early months of the fall semester of the year they intend, with their advisor’s approval, to apply. Students may find detailed information about various externship sites in the New York area through: </w:t>
      </w:r>
      <w:hyperlink r:id="rId64">
        <w:r>
          <w:rPr>
            <w:rFonts w:ascii="Cambria" w:eastAsia="Cambria" w:hAnsi="Cambria" w:cs="Cambria"/>
            <w:color w:val="0000FF"/>
            <w:u w:val="single"/>
          </w:rPr>
          <w:t>www.psychpracticum.fdu.edu</w:t>
        </w:r>
      </w:hyperlink>
      <w:r>
        <w:rPr>
          <w:rFonts w:ascii="Cambria" w:eastAsia="Cambria" w:hAnsi="Cambria" w:cs="Cambria"/>
          <w:color w:val="000000"/>
        </w:rPr>
        <w:t>.</w:t>
      </w:r>
    </w:p>
    <w:p w14:paraId="000004AA" w14:textId="77777777" w:rsidR="00CD3527" w:rsidRDefault="00CD3527">
      <w:pPr>
        <w:pBdr>
          <w:top w:val="nil"/>
          <w:left w:val="nil"/>
          <w:bottom w:val="nil"/>
          <w:right w:val="nil"/>
          <w:between w:val="nil"/>
        </w:pBdr>
        <w:rPr>
          <w:rFonts w:ascii="Cambria" w:eastAsia="Cambria" w:hAnsi="Cambria" w:cs="Cambria"/>
          <w:color w:val="000000"/>
        </w:rPr>
      </w:pPr>
    </w:p>
    <w:p w14:paraId="000004AB"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Starting 2019, most up-to-date information about externship sites in the New York area is found through: </w:t>
      </w:r>
      <w:hyperlink r:id="rId65">
        <w:r>
          <w:rPr>
            <w:rFonts w:ascii="Cambria" w:eastAsia="Cambria" w:hAnsi="Cambria" w:cs="Cambria"/>
            <w:color w:val="0000FF"/>
            <w:u w:val="single"/>
          </w:rPr>
          <w:t>http://psychpracticum.apa.org/</w:t>
        </w:r>
      </w:hyperlink>
      <w:r>
        <w:rPr>
          <w:rFonts w:ascii="Cambria" w:eastAsia="Cambria" w:hAnsi="Cambria" w:cs="Cambria"/>
          <w:color w:val="000000"/>
        </w:rPr>
        <w:t xml:space="preserve">. Reviewing the externship guidelines posted on the APA psychpracticum portal can be especially useful: </w:t>
      </w:r>
      <w:hyperlink r:id="rId66">
        <w:r>
          <w:rPr>
            <w:rFonts w:ascii="Cambria" w:eastAsia="Cambria" w:hAnsi="Cambria" w:cs="Cambria"/>
            <w:color w:val="0000FF"/>
            <w:u w:val="single"/>
          </w:rPr>
          <w:t>https://psychpracticum.apa.org/resources/pdf/PsychPracticum_2019_Guidelines.pdf</w:t>
        </w:r>
      </w:hyperlink>
    </w:p>
    <w:p w14:paraId="000004AC" w14:textId="77777777" w:rsidR="00CD3527" w:rsidRDefault="00CD3527">
      <w:pPr>
        <w:pBdr>
          <w:top w:val="nil"/>
          <w:left w:val="nil"/>
          <w:bottom w:val="nil"/>
          <w:right w:val="nil"/>
          <w:between w:val="nil"/>
        </w:pBdr>
        <w:rPr>
          <w:rFonts w:ascii="Cambria" w:eastAsia="Cambria" w:hAnsi="Cambria" w:cs="Cambria"/>
          <w:color w:val="000000"/>
        </w:rPr>
      </w:pPr>
    </w:p>
    <w:p w14:paraId="000004AD"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Following steps and the suggested timeline may help the student prepare better for the externship process:</w:t>
      </w:r>
    </w:p>
    <w:p w14:paraId="000004AE" w14:textId="77777777" w:rsidR="00CD3527" w:rsidRDefault="00CD3527">
      <w:pPr>
        <w:pBdr>
          <w:top w:val="nil"/>
          <w:left w:val="nil"/>
          <w:bottom w:val="nil"/>
          <w:right w:val="nil"/>
          <w:between w:val="nil"/>
        </w:pBdr>
        <w:rPr>
          <w:rFonts w:ascii="Cambria" w:eastAsia="Cambria" w:hAnsi="Cambria" w:cs="Cambria"/>
          <w:color w:val="000000"/>
        </w:rPr>
      </w:pPr>
    </w:p>
    <w:p w14:paraId="000004AF" w14:textId="77777777" w:rsidR="00CD3527" w:rsidRDefault="007F4AED">
      <w:p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Early Fall:</w:t>
      </w:r>
    </w:p>
    <w:p w14:paraId="000004B0"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Step 1: Begin browsing the directory on the APA psych practicum web portal and shortlisting your sites of interest. </w:t>
      </w:r>
    </w:p>
    <w:p w14:paraId="000004B1" w14:textId="77777777" w:rsidR="00CD3527" w:rsidRDefault="00CD3527">
      <w:pPr>
        <w:pBdr>
          <w:top w:val="nil"/>
          <w:left w:val="nil"/>
          <w:bottom w:val="nil"/>
          <w:right w:val="nil"/>
          <w:between w:val="nil"/>
        </w:pBdr>
        <w:rPr>
          <w:rFonts w:ascii="Cambria" w:eastAsia="Cambria" w:hAnsi="Cambria" w:cs="Cambria"/>
          <w:color w:val="000000"/>
        </w:rPr>
      </w:pPr>
    </w:p>
    <w:p w14:paraId="000004B2"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Step 2: Identify the requirements of the sites you are interested in (e.g., transcripts, number of letters of recommendation, case description, examples of testing reports etc.)</w:t>
      </w:r>
    </w:p>
    <w:p w14:paraId="000004B3" w14:textId="77777777" w:rsidR="00CD3527" w:rsidRDefault="00CD3527">
      <w:pPr>
        <w:pBdr>
          <w:top w:val="nil"/>
          <w:left w:val="nil"/>
          <w:bottom w:val="nil"/>
          <w:right w:val="nil"/>
          <w:between w:val="nil"/>
        </w:pBdr>
        <w:rPr>
          <w:rFonts w:ascii="Cambria" w:eastAsia="Cambria" w:hAnsi="Cambria" w:cs="Cambria"/>
          <w:color w:val="000000"/>
        </w:rPr>
      </w:pPr>
    </w:p>
    <w:p w14:paraId="000004B4"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Step 3: Identify faculty and /or supervisors who would be writing you letters of recommendation and begin contacting them so that they have sufficient time to develop your letter. In your correspondence, provide them with details about the sites you are applying to and information regarding how to submit the letter (e.g., some sites may want your recommenders to directly submit the letter versus some others that want you to submit the letters as part of your application package).</w:t>
      </w:r>
    </w:p>
    <w:p w14:paraId="000004B5" w14:textId="77777777" w:rsidR="00CD3527" w:rsidRDefault="00CD3527">
      <w:pPr>
        <w:pBdr>
          <w:top w:val="nil"/>
          <w:left w:val="nil"/>
          <w:bottom w:val="nil"/>
          <w:right w:val="nil"/>
          <w:between w:val="nil"/>
        </w:pBdr>
        <w:rPr>
          <w:rFonts w:ascii="Cambria" w:eastAsia="Cambria" w:hAnsi="Cambria" w:cs="Cambria"/>
          <w:color w:val="000000"/>
        </w:rPr>
      </w:pPr>
    </w:p>
    <w:p w14:paraId="400EE247" w14:textId="77777777" w:rsidR="00F92967" w:rsidRDefault="00F92967">
      <w:pPr>
        <w:pBdr>
          <w:top w:val="nil"/>
          <w:left w:val="nil"/>
          <w:bottom w:val="nil"/>
          <w:right w:val="nil"/>
          <w:between w:val="nil"/>
        </w:pBdr>
        <w:rPr>
          <w:rFonts w:ascii="Cambria" w:eastAsia="Cambria" w:hAnsi="Cambria" w:cs="Cambria"/>
          <w:b/>
          <w:color w:val="000000"/>
        </w:rPr>
      </w:pPr>
    </w:p>
    <w:p w14:paraId="000004B6" w14:textId="398F0DBD" w:rsidR="00CD3527" w:rsidRDefault="007F4AED">
      <w:p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lastRenderedPageBreak/>
        <w:t>Late Fall – Early Spring</w:t>
      </w:r>
    </w:p>
    <w:p w14:paraId="000004B7"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Step 4: Attend externship preparation workshops organized by the DCT of the clinical and counseling psychology programs. These workshops are organized for your benefit. </w:t>
      </w:r>
    </w:p>
    <w:p w14:paraId="000004B8" w14:textId="77777777" w:rsidR="00CD3527" w:rsidRDefault="00CD3527">
      <w:pPr>
        <w:pBdr>
          <w:top w:val="nil"/>
          <w:left w:val="nil"/>
          <w:bottom w:val="nil"/>
          <w:right w:val="nil"/>
          <w:between w:val="nil"/>
        </w:pBdr>
        <w:rPr>
          <w:rFonts w:ascii="Cambria" w:eastAsia="Cambria" w:hAnsi="Cambria" w:cs="Cambria"/>
          <w:color w:val="000000"/>
        </w:rPr>
      </w:pPr>
    </w:p>
    <w:p w14:paraId="000004B9"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Step 5: Begin consolidating application packages for each site that you have chosen. </w:t>
      </w:r>
    </w:p>
    <w:p w14:paraId="000004BA" w14:textId="77777777" w:rsidR="00CD3527" w:rsidRDefault="00CD3527">
      <w:pPr>
        <w:pBdr>
          <w:top w:val="nil"/>
          <w:left w:val="nil"/>
          <w:bottom w:val="nil"/>
          <w:right w:val="nil"/>
          <w:between w:val="nil"/>
        </w:pBdr>
        <w:rPr>
          <w:rFonts w:ascii="Cambria" w:eastAsia="Cambria" w:hAnsi="Cambria" w:cs="Cambria"/>
          <w:color w:val="000000"/>
        </w:rPr>
      </w:pPr>
    </w:p>
    <w:p w14:paraId="000004BB" w14:textId="596EF755" w:rsidR="00CD3527" w:rsidRDefault="007F4AED">
      <w:pPr>
        <w:pBdr>
          <w:top w:val="nil"/>
          <w:left w:val="nil"/>
          <w:bottom w:val="nil"/>
          <w:right w:val="nil"/>
          <w:between w:val="nil"/>
        </w:pBdr>
        <w:rPr>
          <w:rFonts w:ascii="Cambria" w:eastAsia="Cambria" w:hAnsi="Cambria" w:cs="Cambria"/>
          <w:b/>
          <w:i/>
          <w:color w:val="000000"/>
        </w:rPr>
      </w:pPr>
      <w:r>
        <w:rPr>
          <w:rFonts w:ascii="Cambria" w:eastAsia="Cambria" w:hAnsi="Cambria" w:cs="Cambria"/>
          <w:color w:val="000000"/>
        </w:rPr>
        <w:t>When applying, they should include the name, email address, and phone number of both the DCT (currently, Prof</w:t>
      </w:r>
      <w:r w:rsidR="009E0221">
        <w:rPr>
          <w:rFonts w:ascii="Cambria" w:eastAsia="Cambria" w:hAnsi="Cambria" w:cs="Cambria"/>
          <w:color w:val="000000"/>
        </w:rPr>
        <w:t>s</w:t>
      </w:r>
      <w:r>
        <w:rPr>
          <w:rFonts w:ascii="Cambria" w:eastAsia="Cambria" w:hAnsi="Cambria" w:cs="Cambria"/>
          <w:color w:val="000000"/>
        </w:rPr>
        <w:t xml:space="preserve">. </w:t>
      </w:r>
      <w:r w:rsidR="009E0221">
        <w:rPr>
          <w:rFonts w:ascii="Cambria" w:eastAsia="Cambria" w:hAnsi="Cambria" w:cs="Cambria"/>
          <w:color w:val="000000"/>
        </w:rPr>
        <w:t>Farber and Verdeli</w:t>
      </w:r>
      <w:r>
        <w:rPr>
          <w:rFonts w:ascii="Cambria" w:eastAsia="Cambria" w:hAnsi="Cambria" w:cs="Cambria"/>
          <w:color w:val="000000"/>
        </w:rPr>
        <w:t>) and that faculty member in charge of externships at TC (currently, Dr. Cha) on their CV.</w:t>
      </w:r>
    </w:p>
    <w:p w14:paraId="000004BC" w14:textId="77777777" w:rsidR="00CD3527" w:rsidRDefault="00CD3527">
      <w:pPr>
        <w:pBdr>
          <w:top w:val="nil"/>
          <w:left w:val="nil"/>
          <w:bottom w:val="nil"/>
          <w:right w:val="nil"/>
          <w:between w:val="nil"/>
        </w:pBdr>
        <w:rPr>
          <w:rFonts w:ascii="Cambria" w:eastAsia="Cambria" w:hAnsi="Cambria" w:cs="Cambria"/>
          <w:b/>
          <w:i/>
          <w:color w:val="000000"/>
        </w:rPr>
      </w:pPr>
    </w:p>
    <w:p w14:paraId="000004BD" w14:textId="77777777" w:rsidR="00CD3527" w:rsidRDefault="007F4AED">
      <w:pPr>
        <w:pBdr>
          <w:top w:val="nil"/>
          <w:left w:val="nil"/>
          <w:bottom w:val="nil"/>
          <w:right w:val="nil"/>
          <w:between w:val="nil"/>
        </w:pBdr>
        <w:rPr>
          <w:rFonts w:ascii="Cambria" w:eastAsia="Cambria" w:hAnsi="Cambria" w:cs="Cambria"/>
          <w:b/>
          <w:i/>
          <w:color w:val="000000"/>
        </w:rPr>
      </w:pPr>
      <w:r>
        <w:rPr>
          <w:rFonts w:ascii="Cambria" w:eastAsia="Cambria" w:hAnsi="Cambria" w:cs="Cambria"/>
          <w:b/>
          <w:i/>
          <w:color w:val="000000"/>
        </w:rPr>
        <w:t>Application Submission, Offer Acceptance/Withdrawal and Interview Process</w:t>
      </w:r>
    </w:p>
    <w:p w14:paraId="000004BE" w14:textId="2E2CE644"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Virtually all externship programs in the New York area now adhere to a common deadline for applications and acceptances: generally, applications are accepted beginning 1/20 and interviews begin after 2/1 (BUT SEE CURRENT NYNJADOT GUIDELINES, UPDATED EVERY FALL). The earliest date on which an offer can be made to a student is Monday on Match Day (at 9:00 AM). The submission/application date for externships is typically on the Tuesday immediately after Martin Luther King’s birthday commemoration. Offers to students can be made between 9:00-5:00 and made only via email; phone calls are not acceptable. </w:t>
      </w:r>
    </w:p>
    <w:p w14:paraId="000004BF" w14:textId="77777777" w:rsidR="00CD3527" w:rsidRDefault="00CD3527">
      <w:pPr>
        <w:pBdr>
          <w:top w:val="nil"/>
          <w:left w:val="nil"/>
          <w:bottom w:val="nil"/>
          <w:right w:val="nil"/>
          <w:between w:val="nil"/>
        </w:pBdr>
        <w:rPr>
          <w:rFonts w:ascii="Cambria" w:eastAsia="Cambria" w:hAnsi="Cambria" w:cs="Cambria"/>
          <w:color w:val="000000"/>
        </w:rPr>
      </w:pPr>
    </w:p>
    <w:p w14:paraId="000004C0"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Students can hold an initial offer until 10:00 AM on the morning after the offer is made (regardless of the time of day that the offer is made). The student must either accept or reject that offer by 10 AM the next morning. Examples:</w:t>
      </w:r>
    </w:p>
    <w:p w14:paraId="000004C1" w14:textId="77777777" w:rsidR="00CD3527" w:rsidRDefault="00CD3527">
      <w:pPr>
        <w:pBdr>
          <w:top w:val="nil"/>
          <w:left w:val="nil"/>
          <w:bottom w:val="nil"/>
          <w:right w:val="nil"/>
          <w:between w:val="nil"/>
        </w:pBdr>
        <w:rPr>
          <w:rFonts w:ascii="Cambria" w:eastAsia="Cambria" w:hAnsi="Cambria" w:cs="Cambria"/>
          <w:color w:val="000000"/>
        </w:rPr>
      </w:pPr>
    </w:p>
    <w:p w14:paraId="000004C2" w14:textId="77777777" w:rsidR="00CD3527" w:rsidRDefault="007F4AED">
      <w:pPr>
        <w:pBdr>
          <w:top w:val="nil"/>
          <w:left w:val="nil"/>
          <w:bottom w:val="nil"/>
          <w:right w:val="nil"/>
          <w:between w:val="nil"/>
        </w:pBdr>
        <w:ind w:left="720" w:hanging="720"/>
        <w:rPr>
          <w:rFonts w:ascii="Cambria" w:eastAsia="Cambria" w:hAnsi="Cambria" w:cs="Cambria"/>
          <w:color w:val="000000"/>
        </w:rPr>
      </w:pPr>
      <w:r>
        <w:rPr>
          <w:rFonts w:ascii="Cambria" w:eastAsia="Cambria" w:hAnsi="Cambria" w:cs="Cambria"/>
          <w:color w:val="000000"/>
        </w:rPr>
        <w:t>a. If an offer is made on Monday, the student has until Tuesday at 10:00 AM to accept or reject the offer;</w:t>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r>
        <w:rPr>
          <w:rFonts w:ascii="Cambria" w:eastAsia="Cambria" w:hAnsi="Cambria" w:cs="Cambria"/>
          <w:color w:val="000000"/>
        </w:rPr>
        <w:tab/>
      </w:r>
    </w:p>
    <w:p w14:paraId="000004C3" w14:textId="77777777" w:rsidR="00CD3527" w:rsidRDefault="007F4AED">
      <w:pPr>
        <w:pBdr>
          <w:top w:val="nil"/>
          <w:left w:val="nil"/>
          <w:bottom w:val="nil"/>
          <w:right w:val="nil"/>
          <w:between w:val="nil"/>
        </w:pBdr>
        <w:ind w:left="720" w:hanging="720"/>
        <w:rPr>
          <w:rFonts w:ascii="Cambria" w:eastAsia="Cambria" w:hAnsi="Cambria" w:cs="Cambria"/>
          <w:color w:val="000000"/>
        </w:rPr>
      </w:pPr>
      <w:r>
        <w:rPr>
          <w:rFonts w:ascii="Cambria" w:eastAsia="Cambria" w:hAnsi="Cambria" w:cs="Cambria"/>
          <w:color w:val="000000"/>
        </w:rPr>
        <w:t>b. If an offer is made on Friday, the student has until Monday at 10:00 AM to accept or reject the offer.</w:t>
      </w:r>
    </w:p>
    <w:p w14:paraId="000004C4" w14:textId="77777777" w:rsidR="00CD3527" w:rsidRDefault="00CD3527">
      <w:pPr>
        <w:pBdr>
          <w:top w:val="nil"/>
          <w:left w:val="nil"/>
          <w:bottom w:val="nil"/>
          <w:right w:val="nil"/>
          <w:between w:val="nil"/>
        </w:pBdr>
        <w:ind w:hanging="720"/>
        <w:rPr>
          <w:rFonts w:ascii="Cambria" w:eastAsia="Cambria" w:hAnsi="Cambria" w:cs="Cambria"/>
          <w:color w:val="000000"/>
        </w:rPr>
      </w:pPr>
    </w:p>
    <w:p w14:paraId="000004C5"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Once a student gets any additional offers, regardless of the time that offer is made, he or she must drop all offer but one by 7:00 PM and, has until 10:00 AM the next morning, to decide on the remaining offer. </w:t>
      </w:r>
      <w:r>
        <w:rPr>
          <w:rFonts w:ascii="Cambria" w:eastAsia="Cambria" w:hAnsi="Cambria" w:cs="Cambria"/>
          <w:color w:val="000000"/>
          <w:u w:val="single"/>
        </w:rPr>
        <w:t xml:space="preserve">A student cannot hold more than one offer past 7:00 PM on any day. </w:t>
      </w:r>
      <w:r>
        <w:rPr>
          <w:rFonts w:ascii="Cambria" w:eastAsia="Cambria" w:hAnsi="Cambria" w:cs="Cambria"/>
          <w:color w:val="000000"/>
        </w:rPr>
        <w:t>Examples:</w:t>
      </w:r>
    </w:p>
    <w:p w14:paraId="000004C6" w14:textId="77777777" w:rsidR="00CD3527" w:rsidRDefault="00CD3527">
      <w:pPr>
        <w:pBdr>
          <w:top w:val="nil"/>
          <w:left w:val="nil"/>
          <w:bottom w:val="nil"/>
          <w:right w:val="nil"/>
          <w:between w:val="nil"/>
        </w:pBdr>
        <w:ind w:hanging="720"/>
        <w:rPr>
          <w:rFonts w:ascii="Cambria" w:eastAsia="Cambria" w:hAnsi="Cambria" w:cs="Cambria"/>
          <w:color w:val="000000"/>
        </w:rPr>
      </w:pPr>
    </w:p>
    <w:p w14:paraId="000004C7" w14:textId="77777777" w:rsidR="00CD3527" w:rsidRDefault="007F4AED">
      <w:pPr>
        <w:pBdr>
          <w:top w:val="nil"/>
          <w:left w:val="nil"/>
          <w:bottom w:val="nil"/>
          <w:right w:val="nil"/>
          <w:between w:val="nil"/>
        </w:pBdr>
        <w:ind w:left="720" w:hanging="720"/>
        <w:rPr>
          <w:rFonts w:ascii="Cambria" w:eastAsia="Cambria" w:hAnsi="Cambria" w:cs="Cambria"/>
          <w:color w:val="000000"/>
        </w:rPr>
      </w:pPr>
      <w:r>
        <w:rPr>
          <w:rFonts w:ascii="Cambria" w:eastAsia="Cambria" w:hAnsi="Cambria" w:cs="Cambria"/>
          <w:color w:val="000000"/>
        </w:rPr>
        <w:t xml:space="preserve">a. Example #1: If a student gets offer #1 on Monday at 9:00 AM and offer #2 on Monday at 4:00 PM they must drop one of those offers by 7pm on Monday and make a decision on the other offer by 10am.  </w:t>
      </w:r>
    </w:p>
    <w:p w14:paraId="000004C8" w14:textId="77777777" w:rsidR="00CD3527" w:rsidRDefault="007F4AED">
      <w:pPr>
        <w:pBdr>
          <w:top w:val="nil"/>
          <w:left w:val="nil"/>
          <w:bottom w:val="nil"/>
          <w:right w:val="nil"/>
          <w:between w:val="nil"/>
        </w:pBdr>
        <w:ind w:left="720" w:hanging="720"/>
        <w:rPr>
          <w:rFonts w:ascii="Cambria" w:eastAsia="Cambria" w:hAnsi="Cambria" w:cs="Cambria"/>
          <w:color w:val="000000"/>
        </w:rPr>
      </w:pPr>
      <w:r>
        <w:rPr>
          <w:rFonts w:ascii="Cambria" w:eastAsia="Cambria" w:hAnsi="Cambria" w:cs="Cambria"/>
          <w:color w:val="000000"/>
        </w:rPr>
        <w:t xml:space="preserve">b. Example #2: If a student gets offer #1 on Monday at 9:00 AM and offer #2 on Tuesday at 11:00 AM, they would have had until Tuesday at 10:00 AM to drop or accept the first offer. If they dropped the first offer, the “24 hr clock” begins on the second offer and they have until 10 on Wednesday to decide. </w:t>
      </w:r>
    </w:p>
    <w:p w14:paraId="000004C9" w14:textId="77777777" w:rsidR="00CD3527" w:rsidRDefault="007F4AED">
      <w:pPr>
        <w:pBdr>
          <w:top w:val="nil"/>
          <w:left w:val="nil"/>
          <w:bottom w:val="nil"/>
          <w:right w:val="nil"/>
          <w:between w:val="nil"/>
        </w:pBdr>
        <w:ind w:left="720" w:hanging="720"/>
        <w:rPr>
          <w:rFonts w:ascii="Cambria" w:eastAsia="Cambria" w:hAnsi="Cambria" w:cs="Cambria"/>
          <w:color w:val="000000"/>
        </w:rPr>
      </w:pPr>
      <w:r>
        <w:rPr>
          <w:rFonts w:ascii="Cambria" w:eastAsia="Cambria" w:hAnsi="Cambria" w:cs="Cambria"/>
          <w:color w:val="000000"/>
        </w:rPr>
        <w:t xml:space="preserve">c. An offer made on Friday: The student will have until 10am on Monday to decide. </w:t>
      </w:r>
    </w:p>
    <w:p w14:paraId="000004CA" w14:textId="77777777" w:rsidR="00CD3527" w:rsidRDefault="00CD3527">
      <w:pPr>
        <w:pBdr>
          <w:top w:val="nil"/>
          <w:left w:val="nil"/>
          <w:bottom w:val="nil"/>
          <w:right w:val="nil"/>
          <w:between w:val="nil"/>
        </w:pBdr>
        <w:rPr>
          <w:rFonts w:ascii="Cambria" w:eastAsia="Cambria" w:hAnsi="Cambria" w:cs="Cambria"/>
          <w:color w:val="000000"/>
        </w:rPr>
      </w:pPr>
    </w:p>
    <w:p w14:paraId="000004CB"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Students must confirm receipt of any offer to interview by emailing the externship director. </w:t>
      </w:r>
      <w:r>
        <w:rPr>
          <w:rFonts w:ascii="Cambria" w:eastAsia="Cambria" w:hAnsi="Cambria" w:cs="Cambria"/>
          <w:color w:val="000000"/>
          <w:u w:val="single"/>
        </w:rPr>
        <w:t xml:space="preserve">Students must inform, via email, their Director of Training as well as that </w:t>
      </w:r>
      <w:r>
        <w:rPr>
          <w:rFonts w:ascii="Cambria" w:eastAsia="Cambria" w:hAnsi="Cambria" w:cs="Cambria"/>
          <w:color w:val="000000"/>
          <w:u w:val="single"/>
        </w:rPr>
        <w:lastRenderedPageBreak/>
        <w:t xml:space="preserve">faculty member in charge of externships any externship offer, rejection, acceptance, and withdrawal. </w:t>
      </w:r>
    </w:p>
    <w:p w14:paraId="000004CC" w14:textId="77777777" w:rsidR="00CD3527" w:rsidRDefault="00CD3527">
      <w:pPr>
        <w:pBdr>
          <w:top w:val="nil"/>
          <w:left w:val="nil"/>
          <w:bottom w:val="nil"/>
          <w:right w:val="nil"/>
          <w:between w:val="nil"/>
        </w:pBdr>
        <w:rPr>
          <w:rFonts w:ascii="Cambria" w:eastAsia="Cambria" w:hAnsi="Cambria" w:cs="Cambria"/>
          <w:color w:val="000000"/>
        </w:rPr>
      </w:pPr>
    </w:p>
    <w:p w14:paraId="000004CD"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Immediately after accepting an offer, students are required to send emails to ALL sites they applied to, indicating that they are withdrawing from consideration. Students should also notify the DCT and externship coordinator here at TC this information. </w:t>
      </w:r>
    </w:p>
    <w:p w14:paraId="000004CE" w14:textId="77777777" w:rsidR="00CD3527" w:rsidRDefault="00CD3527">
      <w:pPr>
        <w:pBdr>
          <w:top w:val="nil"/>
          <w:left w:val="nil"/>
          <w:bottom w:val="nil"/>
          <w:right w:val="nil"/>
          <w:between w:val="nil"/>
        </w:pBdr>
        <w:rPr>
          <w:rFonts w:ascii="Cambria" w:eastAsia="Cambria" w:hAnsi="Cambria" w:cs="Cambria"/>
          <w:color w:val="000000"/>
        </w:rPr>
      </w:pPr>
    </w:p>
    <w:p w14:paraId="000004CF" w14:textId="0B8A8AD5" w:rsidR="00CD3527" w:rsidRDefault="007F4AED">
      <w:pPr>
        <w:pBdr>
          <w:top w:val="nil"/>
          <w:left w:val="nil"/>
          <w:bottom w:val="nil"/>
          <w:right w:val="nil"/>
          <w:between w:val="nil"/>
        </w:pBdr>
        <w:rPr>
          <w:rFonts w:ascii="Cambria" w:eastAsia="Cambria" w:hAnsi="Cambria" w:cs="Cambria"/>
          <w:color w:val="000000"/>
          <w:sz w:val="20"/>
          <w:szCs w:val="20"/>
          <w:u w:val="single"/>
        </w:rPr>
      </w:pPr>
      <w:r>
        <w:rPr>
          <w:rFonts w:ascii="Cambria" w:eastAsia="Cambria" w:hAnsi="Cambria" w:cs="Cambria"/>
          <w:color w:val="222222"/>
          <w:u w:val="single"/>
        </w:rPr>
        <w:t xml:space="preserve">Students applying for internship (through the APPIC Match or otherwise) </w:t>
      </w:r>
      <w:r>
        <w:rPr>
          <w:rFonts w:ascii="Cambria" w:eastAsia="Cambria" w:hAnsi="Cambria" w:cs="Cambria"/>
          <w:color w:val="222222"/>
          <w:highlight w:val="white"/>
          <w:u w:val="single"/>
        </w:rPr>
        <w:t>are NOT eligible to apply for externship</w:t>
      </w:r>
      <w:r>
        <w:rPr>
          <w:rFonts w:ascii="Cambria" w:eastAsia="Cambria" w:hAnsi="Cambria" w:cs="Cambria"/>
          <w:color w:val="000000"/>
          <w:sz w:val="20"/>
          <w:szCs w:val="20"/>
          <w:u w:val="single"/>
        </w:rPr>
        <w:t xml:space="preserve"> </w:t>
      </w:r>
      <w:r>
        <w:rPr>
          <w:rFonts w:ascii="Cambria" w:eastAsia="Cambria" w:hAnsi="Cambria" w:cs="Cambria"/>
          <w:color w:val="222222"/>
          <w:highlight w:val="white"/>
          <w:u w:val="single"/>
        </w:rPr>
        <w:t xml:space="preserve">unless they attest that they have withdrawn from the Match and are no longer seeking an </w:t>
      </w:r>
      <w:r w:rsidR="00BF792A">
        <w:rPr>
          <w:rFonts w:ascii="Cambria" w:eastAsia="Cambria" w:hAnsi="Cambria" w:cs="Cambria"/>
          <w:color w:val="222222"/>
          <w:highlight w:val="white"/>
          <w:u w:val="single"/>
        </w:rPr>
        <w:t>i</w:t>
      </w:r>
      <w:r>
        <w:rPr>
          <w:rFonts w:ascii="Cambria" w:eastAsia="Cambria" w:hAnsi="Cambria" w:cs="Cambria"/>
          <w:color w:val="222222"/>
          <w:highlight w:val="white"/>
          <w:u w:val="single"/>
        </w:rPr>
        <w:t>nternship in the year that they intend to train at an externship.</w:t>
      </w:r>
    </w:p>
    <w:p w14:paraId="000004D0" w14:textId="77777777" w:rsidR="00CD3527" w:rsidRDefault="007F4AED">
      <w:pPr>
        <w:pBdr>
          <w:top w:val="nil"/>
          <w:left w:val="nil"/>
          <w:bottom w:val="nil"/>
          <w:right w:val="nil"/>
          <w:between w:val="nil"/>
        </w:pBdr>
        <w:shd w:val="clear" w:color="auto" w:fill="FFFFFF"/>
        <w:spacing w:before="280" w:after="280"/>
        <w:rPr>
          <w:rFonts w:ascii="Cambria" w:eastAsia="Cambria" w:hAnsi="Cambria" w:cs="Cambria"/>
          <w:color w:val="222222"/>
        </w:rPr>
      </w:pPr>
      <w:r>
        <w:rPr>
          <w:rFonts w:ascii="Cambria" w:eastAsia="Cambria" w:hAnsi="Cambria" w:cs="Cambria"/>
          <w:color w:val="222222"/>
        </w:rPr>
        <w:t xml:space="preserve">Per the guidelines of the New York consortium of directors of training (NYNJADOT): DCTs are to place limits on the number of applications that students can initially submit (from Jan 20 until February 10). Students who are applying for a clinical externship for the </w:t>
      </w:r>
      <w:r>
        <w:rPr>
          <w:rFonts w:ascii="Cambria" w:eastAsia="Cambria" w:hAnsi="Cambria" w:cs="Cambria"/>
          <w:color w:val="222222"/>
          <w:u w:val="single"/>
        </w:rPr>
        <w:t>first time</w:t>
      </w:r>
      <w:r>
        <w:rPr>
          <w:rFonts w:ascii="Cambria" w:eastAsia="Cambria" w:hAnsi="Cambria" w:cs="Cambria"/>
          <w:color w:val="222222"/>
        </w:rPr>
        <w:t xml:space="preserve"> are permitted to apply to no more than ten sites. Students applying for their </w:t>
      </w:r>
      <w:r>
        <w:rPr>
          <w:rFonts w:ascii="Cambria" w:eastAsia="Cambria" w:hAnsi="Cambria" w:cs="Cambria"/>
          <w:color w:val="222222"/>
          <w:u w:val="single"/>
        </w:rPr>
        <w:t>second clinical</w:t>
      </w:r>
      <w:r>
        <w:rPr>
          <w:rFonts w:ascii="Cambria" w:eastAsia="Cambria" w:hAnsi="Cambria" w:cs="Cambria"/>
          <w:color w:val="222222"/>
        </w:rPr>
        <w:t xml:space="preserve"> externship can apply to no more than eight sites; students applying for their </w:t>
      </w:r>
      <w:r>
        <w:rPr>
          <w:rFonts w:ascii="Cambria" w:eastAsia="Cambria" w:hAnsi="Cambria" w:cs="Cambria"/>
          <w:color w:val="222222"/>
          <w:u w:val="single"/>
        </w:rPr>
        <w:t>third externship</w:t>
      </w:r>
      <w:r>
        <w:rPr>
          <w:rFonts w:ascii="Cambria" w:eastAsia="Cambria" w:hAnsi="Cambria" w:cs="Cambria"/>
          <w:color w:val="222222"/>
        </w:rPr>
        <w:t xml:space="preserve"> are permitted to apply to no more than six sites.</w:t>
      </w:r>
    </w:p>
    <w:p w14:paraId="000004D1" w14:textId="5CFCD5D5" w:rsidR="00CD3527" w:rsidRDefault="007F4AED">
      <w:pPr>
        <w:pBdr>
          <w:top w:val="nil"/>
          <w:left w:val="nil"/>
          <w:bottom w:val="nil"/>
          <w:right w:val="nil"/>
          <w:between w:val="nil"/>
        </w:pBdr>
        <w:shd w:val="clear" w:color="auto" w:fill="FFFFFF"/>
        <w:spacing w:after="280"/>
        <w:rPr>
          <w:rFonts w:ascii="Cambria" w:eastAsia="Cambria" w:hAnsi="Cambria" w:cs="Cambria"/>
          <w:color w:val="222222"/>
        </w:rPr>
      </w:pPr>
      <w:bookmarkStart w:id="57" w:name="_heading=h.206ipza" w:colFirst="0" w:colLast="0"/>
      <w:bookmarkEnd w:id="57"/>
      <w:r>
        <w:rPr>
          <w:rFonts w:ascii="Cambria" w:eastAsia="Cambria" w:hAnsi="Cambria" w:cs="Cambria"/>
          <w:color w:val="222222"/>
          <w:highlight w:val="white"/>
        </w:rPr>
        <w:t>After Feb 10 (see updated NYNJADOT guidelines for updated dates), DCTs can discuss the usefulness of additional submissions with their students (second wave of applications) and in this regard will consider updated information about Externship sites’ willingness to accept further applications.</w:t>
      </w:r>
    </w:p>
    <w:p w14:paraId="000004D2"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While responsibility for direct clinical supervision falls to the supervisors at the placement sites, students must meet with the DCT and the externship coordinator each semester to keep them informed of the nature of their experiences. Students should be aware that evaluations from the site are expected to be sent each semester to the DCT, externship coordinator, and Rebecca Shulevitz (rcs35@tc.columbia.edu) via email. For students to receive credit for this experience, the externship site must forward a final evaluation.  </w:t>
      </w:r>
    </w:p>
    <w:p w14:paraId="000004D3" w14:textId="77777777" w:rsidR="00CD3527" w:rsidRDefault="007F4AED">
      <w:pPr>
        <w:pBdr>
          <w:top w:val="nil"/>
          <w:left w:val="nil"/>
          <w:bottom w:val="nil"/>
          <w:right w:val="nil"/>
          <w:between w:val="nil"/>
        </w:pBdr>
        <w:rPr>
          <w:rFonts w:ascii="Cambria" w:eastAsia="Cambria" w:hAnsi="Cambria" w:cs="Cambria"/>
          <w:b/>
          <w:color w:val="000000"/>
          <w:sz w:val="26"/>
          <w:szCs w:val="26"/>
        </w:rPr>
      </w:pPr>
      <w:r>
        <w:rPr>
          <w:rFonts w:ascii="Cambria" w:eastAsia="Cambria" w:hAnsi="Cambria" w:cs="Cambria"/>
          <w:color w:val="000000"/>
        </w:rPr>
        <w:br/>
      </w:r>
      <w:r>
        <w:rPr>
          <w:rFonts w:ascii="Cambria" w:eastAsia="Cambria" w:hAnsi="Cambria" w:cs="Cambria"/>
          <w:b/>
          <w:color w:val="000000"/>
          <w:sz w:val="26"/>
          <w:szCs w:val="26"/>
        </w:rPr>
        <w:t>Expectations/Requirements:</w:t>
      </w:r>
    </w:p>
    <w:p w14:paraId="000004D4" w14:textId="77777777" w:rsidR="00CD3527" w:rsidRDefault="00CD3527">
      <w:pPr>
        <w:pBdr>
          <w:top w:val="nil"/>
          <w:left w:val="nil"/>
          <w:bottom w:val="nil"/>
          <w:right w:val="nil"/>
          <w:between w:val="nil"/>
        </w:pBdr>
        <w:rPr>
          <w:rFonts w:ascii="Cambria" w:eastAsia="Cambria" w:hAnsi="Cambria" w:cs="Cambria"/>
          <w:color w:val="000000"/>
        </w:rPr>
      </w:pPr>
    </w:p>
    <w:p w14:paraId="000004D5"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Externships typically involve up to 16 hours per week of on-site work over the course of an academic year (20 hours per week in years four or five). Some externships are designed with fewer hours depending on the site and the agreement between the site and the student. This involvement may include clinical work, supervision, and additional training experiences that may be part of an organized program. </w:t>
      </w:r>
    </w:p>
    <w:p w14:paraId="000004D6" w14:textId="77777777" w:rsidR="00CD3527" w:rsidRDefault="00CD3527">
      <w:pPr>
        <w:pBdr>
          <w:top w:val="nil"/>
          <w:left w:val="nil"/>
          <w:bottom w:val="nil"/>
          <w:right w:val="nil"/>
          <w:between w:val="nil"/>
        </w:pBdr>
        <w:rPr>
          <w:rFonts w:ascii="Cambria" w:eastAsia="Cambria" w:hAnsi="Cambria" w:cs="Cambria"/>
          <w:color w:val="000000"/>
        </w:rPr>
      </w:pPr>
    </w:p>
    <w:p w14:paraId="000004D7"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The student will receive relevant supervision by an on-site supervisor for at least one hour for every ten hours of service. Supervision must be by licensed Ph.D. or Psy.D. psychologists unless arrangements for another licensed supervisor (e.g., MSW, or M.D.) have been approved by the course instructor of CCPX 5230, or the DCT.</w:t>
      </w:r>
    </w:p>
    <w:p w14:paraId="000004D8" w14:textId="77777777" w:rsidR="00CD3527" w:rsidRDefault="00CD3527">
      <w:pPr>
        <w:pBdr>
          <w:top w:val="nil"/>
          <w:left w:val="nil"/>
          <w:bottom w:val="nil"/>
          <w:right w:val="nil"/>
          <w:between w:val="nil"/>
        </w:pBdr>
        <w:rPr>
          <w:rFonts w:ascii="Cambria" w:eastAsia="Cambria" w:hAnsi="Cambria" w:cs="Cambria"/>
          <w:color w:val="000000"/>
        </w:rPr>
      </w:pPr>
    </w:p>
    <w:p w14:paraId="000004D9"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u w:val="single"/>
        </w:rPr>
        <w:t>Important:</w:t>
      </w:r>
      <w:r>
        <w:rPr>
          <w:rFonts w:ascii="Cambria" w:eastAsia="Cambria" w:hAnsi="Cambria" w:cs="Cambria"/>
          <w:color w:val="000000"/>
        </w:rPr>
        <w:t xml:space="preserve"> </w:t>
      </w:r>
      <w:r>
        <w:rPr>
          <w:rFonts w:ascii="Cambria" w:eastAsia="Cambria" w:hAnsi="Cambria" w:cs="Cambria"/>
          <w:color w:val="000000"/>
          <w:u w:val="single"/>
        </w:rPr>
        <w:t>Site requirements cannot supersede program requirements</w:t>
      </w:r>
      <w:r>
        <w:rPr>
          <w:rFonts w:ascii="Cambria" w:eastAsia="Cambria" w:hAnsi="Cambria" w:cs="Cambria"/>
          <w:color w:val="000000"/>
        </w:rPr>
        <w:t>. In particular, as third-year externs, students cannot be available at their externship site during times of program requirements, including attendance at case conference, colloquium, and all required classes. To reiterate: students must not contract with their externship site to be there at times that conflict with programmatic requirements. In addition to participation in an externship, clinical training, through maintaining cases and supervision in the Dean Hope Center, often continues in the fourth year, specific terms of which are determined through discussion with Dr. Rosa.</w:t>
      </w:r>
    </w:p>
    <w:p w14:paraId="000004DA" w14:textId="77777777" w:rsidR="00CD3527" w:rsidRDefault="00CD3527">
      <w:pPr>
        <w:pBdr>
          <w:top w:val="nil"/>
          <w:left w:val="nil"/>
          <w:bottom w:val="nil"/>
          <w:right w:val="nil"/>
          <w:between w:val="nil"/>
        </w:pBdr>
        <w:rPr>
          <w:rFonts w:ascii="Cambria" w:eastAsia="Cambria" w:hAnsi="Cambria" w:cs="Cambria"/>
          <w:color w:val="000000"/>
        </w:rPr>
      </w:pPr>
    </w:p>
    <w:p w14:paraId="000004DB" w14:textId="6AA43F04" w:rsidR="00CD3527" w:rsidRDefault="00BF792A">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The</w:t>
      </w:r>
      <w:r w:rsidR="007F4AED">
        <w:rPr>
          <w:rFonts w:ascii="Cambria" w:eastAsia="Cambria" w:hAnsi="Cambria" w:cs="Cambria"/>
          <w:color w:val="000000"/>
        </w:rPr>
        <w:t xml:space="preserve"> DCT and your advisor must be aware of any and all externship experiences you engage in. In addition, you must sign up for CCPX  5230 as noted above.  Finally, any externship experience must be supported by an affiliation agreement between Teachers College and the institution supporting the externship experience.  Once you are accepted for an externship experience, you must write to Dr. Becky Reed (</w:t>
      </w:r>
      <w:hyperlink r:id="rId67">
        <w:r w:rsidR="007F4AED">
          <w:rPr>
            <w:rFonts w:ascii="Cambria" w:eastAsia="Cambria" w:hAnsi="Cambria" w:cs="Cambria"/>
            <w:color w:val="0000FF"/>
            <w:u w:val="single"/>
          </w:rPr>
          <w:t>rfr2109@tc.columbia.edu</w:t>
        </w:r>
      </w:hyperlink>
      <w:r w:rsidR="007F4AED">
        <w:rPr>
          <w:rFonts w:ascii="Cambria" w:eastAsia="Cambria" w:hAnsi="Cambria" w:cs="Cambria"/>
          <w:color w:val="000000"/>
        </w:rPr>
        <w:t>) and cc the DCT to begin the process of an affiliation agreement if one is not already established.</w:t>
      </w:r>
    </w:p>
    <w:p w14:paraId="000004DC" w14:textId="77777777" w:rsidR="00CD3527" w:rsidRDefault="007F4AED">
      <w:pPr>
        <w:pStyle w:val="Heading2"/>
        <w:rPr>
          <w:sz w:val="32"/>
          <w:szCs w:val="32"/>
        </w:rPr>
      </w:pPr>
      <w:bookmarkStart w:id="58" w:name="_heading=h.4k668n3" w:colFirst="0" w:colLast="0"/>
      <w:bookmarkEnd w:id="58"/>
      <w:r>
        <w:br w:type="page"/>
      </w:r>
      <w:r>
        <w:rPr>
          <w:sz w:val="32"/>
          <w:szCs w:val="32"/>
        </w:rPr>
        <w:lastRenderedPageBreak/>
        <w:t xml:space="preserve"> </w:t>
      </w:r>
      <w:r>
        <w:rPr>
          <w:i w:val="0"/>
          <w:sz w:val="32"/>
          <w:szCs w:val="32"/>
        </w:rPr>
        <w:t>CERTIFICATION EXAM (“CERT”)</w:t>
      </w:r>
    </w:p>
    <w:p w14:paraId="000004DD" w14:textId="77777777" w:rsidR="00CD3527" w:rsidRDefault="00CD3527">
      <w:pPr>
        <w:pBdr>
          <w:top w:val="nil"/>
          <w:left w:val="nil"/>
          <w:bottom w:val="nil"/>
          <w:right w:val="nil"/>
          <w:between w:val="nil"/>
        </w:pBdr>
        <w:rPr>
          <w:rFonts w:ascii="Cambria" w:eastAsia="Cambria" w:hAnsi="Cambria" w:cs="Cambria"/>
          <w:color w:val="000000"/>
        </w:rPr>
      </w:pPr>
    </w:p>
    <w:p w14:paraId="000004DE"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For doctoral candidacy certification (“CERT”), students in the clinical Ph.D. program will continue to be expected to complete their second-year research project by </w:t>
      </w:r>
      <w:r>
        <w:rPr>
          <w:rFonts w:ascii="Cambria" w:eastAsia="Cambria" w:hAnsi="Cambria" w:cs="Cambria"/>
          <w:b/>
          <w:color w:val="000000"/>
        </w:rPr>
        <w:t>the beginning of Fall Semester of their third year</w:t>
      </w:r>
      <w:r>
        <w:rPr>
          <w:rFonts w:ascii="Cambria" w:eastAsia="Cambria" w:hAnsi="Cambria" w:cs="Cambria"/>
          <w:color w:val="000000"/>
        </w:rPr>
        <w:t xml:space="preserve">. However, beginning in Spring 2024, they will no longer be taking the “Research Exam” for doctoral candidacy certification (“CERT”). Instead, their third-year spring semester research presentation, the evaluation of which has been revised </w:t>
      </w:r>
      <w:sdt>
        <w:sdtPr>
          <w:tag w:val="goog_rdk_5"/>
          <w:id w:val="374283768"/>
        </w:sdtPr>
        <w:sdtEndPr/>
        <w:sdtContent/>
      </w:sdt>
      <w:r>
        <w:rPr>
          <w:rFonts w:ascii="Cambria" w:eastAsia="Cambria" w:hAnsi="Cambria" w:cs="Cambria"/>
          <w:color w:val="000000"/>
        </w:rPr>
        <w:t>considerably, will now count as the “CERT examination” (replacing the former “Research Exam”). The faculty understands that the field of psychology has seen its methodological complexity deepen in recent years and supports students’ learning about specific types of methodological and analytical approaches that best support their individual programs of research (in consultation with their advisors). Relevant preparatory courses include Probability and Statistical Inference (HUDM 4122), Applied Regression Analysis (HUDM 5122), Linear Models and Experimental Design (HUDM 5123), Research Methods in Social Psychology (ORLJ. 5040), and Psychological Measurement (HUDM 5059).</w:t>
      </w:r>
    </w:p>
    <w:p w14:paraId="000004DF" w14:textId="3A127936" w:rsidR="00CD3527" w:rsidRDefault="007F4AED">
      <w:pPr>
        <w:pBdr>
          <w:top w:val="nil"/>
          <w:left w:val="nil"/>
          <w:bottom w:val="nil"/>
          <w:right w:val="nil"/>
          <w:between w:val="nil"/>
        </w:pBdr>
        <w:rPr>
          <w:rFonts w:ascii="Cambria" w:eastAsia="Cambria" w:hAnsi="Cambria" w:cs="Cambria"/>
          <w:i/>
          <w:color w:val="000000"/>
        </w:rPr>
      </w:pPr>
      <w:r>
        <w:rPr>
          <w:rFonts w:ascii="Cambria" w:eastAsia="Cambria" w:hAnsi="Cambria" w:cs="Cambria"/>
          <w:i/>
          <w:color w:val="000000"/>
        </w:rPr>
        <w:br/>
        <w:t>***************</w:t>
      </w:r>
      <w:r>
        <w:rPr>
          <w:rFonts w:ascii="Cambria" w:eastAsia="Cambria" w:hAnsi="Cambria" w:cs="Cambria"/>
          <w:i/>
          <w:color w:val="000000"/>
        </w:rPr>
        <w:br/>
      </w:r>
      <w:r>
        <w:rPr>
          <w:rFonts w:ascii="Cambria" w:eastAsia="Cambria" w:hAnsi="Cambria" w:cs="Cambria"/>
          <w:b/>
          <w:i/>
          <w:color w:val="000000"/>
        </w:rPr>
        <w:t>Format </w:t>
      </w:r>
      <w:r>
        <w:rPr>
          <w:rFonts w:ascii="Cambria" w:eastAsia="Cambria" w:hAnsi="Cambria" w:cs="Cambria"/>
          <w:i/>
          <w:color w:val="000000"/>
        </w:rPr>
        <w:t xml:space="preserve">- Closed program research talks (Core program faculty </w:t>
      </w:r>
      <w:r w:rsidR="00831B52">
        <w:rPr>
          <w:rFonts w:ascii="Cambria" w:eastAsia="Cambria" w:hAnsi="Cambria" w:cs="Cambria"/>
          <w:i/>
          <w:color w:val="000000"/>
        </w:rPr>
        <w:t>and</w:t>
      </w:r>
      <w:r>
        <w:rPr>
          <w:rFonts w:ascii="Cambria" w:eastAsia="Cambria" w:hAnsi="Cambria" w:cs="Cambria"/>
          <w:i/>
          <w:color w:val="000000"/>
        </w:rPr>
        <w:t xml:space="preserve"> Ph.D. students only, no outside attendees), 2-3 students per colloquium slot in the Spring semester.</w:t>
      </w:r>
      <w:r>
        <w:rPr>
          <w:rFonts w:ascii="Cambria" w:eastAsia="Cambria" w:hAnsi="Cambria" w:cs="Cambria"/>
          <w:i/>
          <w:color w:val="000000"/>
        </w:rPr>
        <w:br/>
      </w:r>
      <w:r>
        <w:rPr>
          <w:rFonts w:ascii="Cambria" w:eastAsia="Cambria" w:hAnsi="Cambria" w:cs="Cambria"/>
          <w:i/>
          <w:color w:val="000000"/>
        </w:rPr>
        <w:br/>
      </w:r>
      <w:r>
        <w:rPr>
          <w:rFonts w:ascii="Cambria" w:eastAsia="Cambria" w:hAnsi="Cambria" w:cs="Cambria"/>
          <w:b/>
          <w:i/>
          <w:color w:val="000000"/>
        </w:rPr>
        <w:t>Talk Structure</w:t>
      </w:r>
      <w:r>
        <w:rPr>
          <w:rFonts w:ascii="Cambria" w:eastAsia="Cambria" w:hAnsi="Cambria" w:cs="Cambria"/>
          <w:i/>
          <w:color w:val="000000"/>
        </w:rPr>
        <w:t> – 20 min research talk [strict timing -- similar to requirements of typical symposia], 10 min Q&amp;A from faculty and students. </w:t>
      </w:r>
      <w:r>
        <w:rPr>
          <w:rFonts w:ascii="Cambria" w:eastAsia="Cambria" w:hAnsi="Cambria" w:cs="Cambria"/>
          <w:i/>
          <w:color w:val="000000"/>
        </w:rPr>
        <w:br/>
        <w:t>******************</w:t>
      </w:r>
      <w:r>
        <w:rPr>
          <w:rFonts w:ascii="Cambria" w:eastAsia="Cambria" w:hAnsi="Cambria" w:cs="Cambria"/>
          <w:i/>
          <w:color w:val="000000"/>
        </w:rPr>
        <w:br/>
      </w:r>
    </w:p>
    <w:p w14:paraId="000004E0"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Evaluation:</w:t>
      </w:r>
    </w:p>
    <w:p w14:paraId="000004E1" w14:textId="77777777" w:rsidR="00CD3527" w:rsidRDefault="00CD3527">
      <w:pPr>
        <w:pBdr>
          <w:top w:val="nil"/>
          <w:left w:val="nil"/>
          <w:bottom w:val="nil"/>
          <w:right w:val="nil"/>
          <w:between w:val="nil"/>
        </w:pBdr>
        <w:rPr>
          <w:rFonts w:ascii="Cambria" w:eastAsia="Cambria" w:hAnsi="Cambria" w:cs="Cambria"/>
          <w:color w:val="000000"/>
        </w:rPr>
      </w:pPr>
    </w:p>
    <w:p w14:paraId="6675DC44" w14:textId="71AFD8C0" w:rsidR="009016D1"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The faculty </w:t>
      </w:r>
      <w:r w:rsidR="009016D1">
        <w:rPr>
          <w:rFonts w:ascii="Cambria" w:eastAsia="Cambria" w:hAnsi="Cambria" w:cs="Cambria"/>
          <w:color w:val="000000"/>
        </w:rPr>
        <w:t>evaluates</w:t>
      </w:r>
      <w:r>
        <w:rPr>
          <w:rFonts w:ascii="Cambria" w:eastAsia="Cambria" w:hAnsi="Cambria" w:cs="Cambria"/>
          <w:color w:val="000000"/>
        </w:rPr>
        <w:t xml:space="preserve"> the talks </w:t>
      </w:r>
      <w:r w:rsidR="009016D1">
        <w:rPr>
          <w:rFonts w:ascii="Cambria" w:eastAsia="Cambria" w:hAnsi="Cambria" w:cs="Cambria"/>
          <w:color w:val="000000"/>
        </w:rPr>
        <w:t>o</w:t>
      </w:r>
      <w:r>
        <w:rPr>
          <w:rFonts w:ascii="Cambria" w:eastAsia="Cambria" w:hAnsi="Cambria" w:cs="Cambria"/>
          <w:color w:val="000000"/>
        </w:rPr>
        <w:t xml:space="preserve">n five dimensions related to the research process including background/rationale, design, analyses, interpretation and broader ethical considerations, and clinical and future research implications. Each of these dimensions </w:t>
      </w:r>
      <w:r w:rsidR="009016D1">
        <w:rPr>
          <w:rFonts w:ascii="Cambria" w:eastAsia="Cambria" w:hAnsi="Cambria" w:cs="Cambria"/>
          <w:color w:val="000000"/>
        </w:rPr>
        <w:t>are</w:t>
      </w:r>
      <w:r>
        <w:rPr>
          <w:rFonts w:ascii="Cambria" w:eastAsia="Cambria" w:hAnsi="Cambria" w:cs="Cambria"/>
          <w:color w:val="000000"/>
        </w:rPr>
        <w:t xml:space="preserve"> rated by each of the core clinical faculty on a four-point scale</w:t>
      </w:r>
      <w:r w:rsidR="00831B52">
        <w:rPr>
          <w:rFonts w:ascii="Cambria" w:eastAsia="Cambria" w:hAnsi="Cambria" w:cs="Cambria"/>
          <w:color w:val="000000"/>
        </w:rPr>
        <w:t xml:space="preserve">: </w:t>
      </w:r>
      <w:r>
        <w:rPr>
          <w:rFonts w:ascii="Cambria" w:eastAsia="Cambria" w:hAnsi="Cambria" w:cs="Cambria"/>
          <w:color w:val="000000"/>
        </w:rPr>
        <w:t xml:space="preserve">“exceeds expectations”, “meets expectations”, “below expectations”, and “significantly below expectations”. </w:t>
      </w:r>
    </w:p>
    <w:p w14:paraId="6D8D423B" w14:textId="77777777" w:rsidR="009016D1" w:rsidRDefault="009016D1">
      <w:pPr>
        <w:pBdr>
          <w:top w:val="nil"/>
          <w:left w:val="nil"/>
          <w:bottom w:val="nil"/>
          <w:right w:val="nil"/>
          <w:between w:val="nil"/>
        </w:pBdr>
        <w:rPr>
          <w:rFonts w:ascii="Cambria" w:eastAsia="Cambria" w:hAnsi="Cambria" w:cs="Cambria"/>
          <w:color w:val="000000"/>
        </w:rPr>
      </w:pPr>
    </w:p>
    <w:p w14:paraId="000004E2" w14:textId="17BEE3F8"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Below are some questions to consider within each dimension.  Students should plan on addressing each of these dimensions in their talk but do not need to cover each of these questions. </w:t>
      </w:r>
      <w:r w:rsidR="00831B52">
        <w:rPr>
          <w:rFonts w:ascii="Cambria" w:eastAsia="Cambria" w:hAnsi="Cambria" w:cs="Cambria"/>
          <w:color w:val="000000"/>
        </w:rPr>
        <w:t>This is not a “gotcha” test. The</w:t>
      </w:r>
      <w:r>
        <w:rPr>
          <w:rFonts w:ascii="Cambria" w:eastAsia="Cambria" w:hAnsi="Cambria" w:cs="Cambria"/>
          <w:color w:val="000000"/>
        </w:rPr>
        <w:t xml:space="preserve"> faculty want to support students in seeing this opportunity to present their work to their community through a lens of curiosity, sharing, and critical exploration.  It is in that spirit that students should approach the development of their presentation and discuss this presentation in advance with their advisor. </w:t>
      </w:r>
    </w:p>
    <w:p w14:paraId="000004E3" w14:textId="77777777" w:rsidR="00CD3527" w:rsidRDefault="00CD3527">
      <w:pPr>
        <w:pBdr>
          <w:top w:val="nil"/>
          <w:left w:val="nil"/>
          <w:bottom w:val="nil"/>
          <w:right w:val="nil"/>
          <w:between w:val="nil"/>
        </w:pBdr>
        <w:rPr>
          <w:rFonts w:ascii="Cambria" w:eastAsia="Cambria" w:hAnsi="Cambria" w:cs="Cambria"/>
          <w:b/>
          <w:color w:val="000000"/>
        </w:rPr>
      </w:pPr>
    </w:p>
    <w:p w14:paraId="000004E5" w14:textId="5DE409FD" w:rsidR="00CD3527" w:rsidRDefault="007F4AED" w:rsidP="009016D1">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Advancement to doctoral candidacy will be dependent on “passing the examination”, which means</w:t>
      </w:r>
      <w:r w:rsidR="009016D1">
        <w:rPr>
          <w:rFonts w:ascii="Cambria" w:eastAsia="Cambria" w:hAnsi="Cambria" w:cs="Cambria"/>
          <w:color w:val="000000"/>
        </w:rPr>
        <w:t xml:space="preserve"> having</w:t>
      </w:r>
      <w:r>
        <w:rPr>
          <w:rFonts w:ascii="Cambria" w:eastAsia="Cambria" w:hAnsi="Cambria" w:cs="Cambria"/>
          <w:color w:val="000000"/>
        </w:rPr>
        <w:t xml:space="preserve">at least “meets expectations” on four out of five dimensions (the median of faculty scores will be used).  If this is not reached, the student’s advisor will </w:t>
      </w:r>
      <w:r>
        <w:rPr>
          <w:rFonts w:ascii="Cambria" w:eastAsia="Cambria" w:hAnsi="Cambria" w:cs="Cambria"/>
          <w:color w:val="000000"/>
        </w:rPr>
        <w:lastRenderedPageBreak/>
        <w:t xml:space="preserve">generate a remediation plan for the student to address the dimension that did not achieve this criterion in a written response that will then be evaluated by the clinical faculty. Once approved after the presentation or the remediation when needed, the student will be considered to have passed the evaluation; conversely, the student will not be able to advance to doctoral candidacy without reaching this milestone. </w:t>
      </w:r>
    </w:p>
    <w:p w14:paraId="000004E6" w14:textId="77777777" w:rsidR="00CD3527" w:rsidRDefault="00CD3527">
      <w:pPr>
        <w:pBdr>
          <w:top w:val="nil"/>
          <w:left w:val="nil"/>
          <w:bottom w:val="nil"/>
          <w:right w:val="nil"/>
          <w:between w:val="nil"/>
        </w:pBdr>
        <w:rPr>
          <w:rFonts w:ascii="Cambria" w:eastAsia="Cambria" w:hAnsi="Cambria" w:cs="Cambria"/>
          <w:b/>
          <w:color w:val="000000"/>
        </w:rPr>
      </w:pPr>
    </w:p>
    <w:p w14:paraId="000004E7" w14:textId="77777777" w:rsidR="00CD3527" w:rsidRDefault="00CD3527">
      <w:pPr>
        <w:pBdr>
          <w:top w:val="nil"/>
          <w:left w:val="nil"/>
          <w:bottom w:val="nil"/>
          <w:right w:val="nil"/>
          <w:between w:val="nil"/>
        </w:pBdr>
        <w:rPr>
          <w:rFonts w:ascii="Cambria" w:eastAsia="Cambria" w:hAnsi="Cambria" w:cs="Cambria"/>
          <w:color w:val="000000"/>
        </w:rPr>
      </w:pPr>
    </w:p>
    <w:p w14:paraId="000004E8" w14:textId="77777777" w:rsidR="00CD3527" w:rsidRDefault="007F4AED">
      <w:pPr>
        <w:pBdr>
          <w:top w:val="nil"/>
          <w:left w:val="nil"/>
          <w:bottom w:val="nil"/>
          <w:right w:val="nil"/>
          <w:between w:val="nil"/>
        </w:pBdr>
        <w:rPr>
          <w:rFonts w:ascii="Cambria" w:eastAsia="Cambria" w:hAnsi="Cambria" w:cs="Cambria"/>
          <w:b/>
          <w:color w:val="000000"/>
          <w:u w:val="single"/>
        </w:rPr>
      </w:pPr>
      <w:r>
        <w:rPr>
          <w:rFonts w:ascii="Cambria" w:eastAsia="Cambria" w:hAnsi="Cambria" w:cs="Cambria"/>
          <w:b/>
          <w:color w:val="000000"/>
          <w:u w:val="single"/>
        </w:rPr>
        <w:t>Background</w:t>
      </w:r>
    </w:p>
    <w:p w14:paraId="000004E9"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Example questions to address:</w:t>
      </w:r>
    </w:p>
    <w:p w14:paraId="000004EA" w14:textId="77777777" w:rsidR="00CD3527" w:rsidRDefault="007F4AED">
      <w:pPr>
        <w:numPr>
          <w:ilvl w:val="0"/>
          <w:numId w:val="93"/>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What were the gaps in the literature that led you to this study and how does your design address this?</w:t>
      </w:r>
    </w:p>
    <w:p w14:paraId="000004EB" w14:textId="106024DA" w:rsidR="00CD3527" w:rsidRDefault="007F4AED">
      <w:pPr>
        <w:numPr>
          <w:ilvl w:val="0"/>
          <w:numId w:val="93"/>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Wh</w:t>
      </w:r>
      <w:r w:rsidR="00AB3FD4">
        <w:rPr>
          <w:rFonts w:ascii="Cambria" w:eastAsia="Cambria" w:hAnsi="Cambria" w:cs="Cambria"/>
          <w:color w:val="000000"/>
        </w:rPr>
        <w:t xml:space="preserve">at determined </w:t>
      </w:r>
      <w:r>
        <w:rPr>
          <w:rFonts w:ascii="Cambria" w:eastAsia="Cambria" w:hAnsi="Cambria" w:cs="Cambria"/>
          <w:color w:val="000000"/>
        </w:rPr>
        <w:t>your a priori hypotheses (or research questions for qualitative designs)?</w:t>
      </w:r>
    </w:p>
    <w:p w14:paraId="000004EC" w14:textId="77777777" w:rsidR="00CD3527" w:rsidRDefault="007F4AED">
      <w:pPr>
        <w:numPr>
          <w:ilvl w:val="0"/>
          <w:numId w:val="93"/>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What alternative hypotheses/research questions did you consider (i.e., alternative findings that could have resulted from this study)? </w:t>
      </w:r>
    </w:p>
    <w:p w14:paraId="000004ED" w14:textId="77777777" w:rsidR="00CD3527" w:rsidRDefault="00CD3527">
      <w:pPr>
        <w:pBdr>
          <w:top w:val="nil"/>
          <w:left w:val="nil"/>
          <w:bottom w:val="nil"/>
          <w:right w:val="nil"/>
          <w:between w:val="nil"/>
        </w:pBdr>
        <w:rPr>
          <w:rFonts w:ascii="Cambria" w:eastAsia="Cambria" w:hAnsi="Cambria" w:cs="Cambria"/>
          <w:color w:val="000000"/>
        </w:rPr>
      </w:pPr>
    </w:p>
    <w:p w14:paraId="000004EE" w14:textId="77777777" w:rsidR="00CD3527" w:rsidRDefault="007F4AED">
      <w:pPr>
        <w:pBdr>
          <w:top w:val="nil"/>
          <w:left w:val="nil"/>
          <w:bottom w:val="nil"/>
          <w:right w:val="nil"/>
          <w:between w:val="nil"/>
        </w:pBdr>
        <w:rPr>
          <w:rFonts w:ascii="Cambria" w:eastAsia="Cambria" w:hAnsi="Cambria" w:cs="Cambria"/>
          <w:b/>
          <w:color w:val="000000"/>
          <w:u w:val="single"/>
        </w:rPr>
      </w:pPr>
      <w:r>
        <w:rPr>
          <w:rFonts w:ascii="Cambria" w:eastAsia="Cambria" w:hAnsi="Cambria" w:cs="Cambria"/>
          <w:b/>
          <w:color w:val="000000"/>
          <w:u w:val="single"/>
        </w:rPr>
        <w:t>Design</w:t>
      </w:r>
    </w:p>
    <w:p w14:paraId="000004EF"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Example questions to address:</w:t>
      </w:r>
    </w:p>
    <w:p w14:paraId="000004F0" w14:textId="53726EEC" w:rsidR="00CD3527" w:rsidRDefault="007F4AED">
      <w:pPr>
        <w:numPr>
          <w:ilvl w:val="0"/>
          <w:numId w:val="95"/>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Explain your sampling strategy and rationale for its selectio</w:t>
      </w:r>
      <w:r w:rsidR="00831B52">
        <w:rPr>
          <w:rFonts w:ascii="Cambria" w:eastAsia="Cambria" w:hAnsi="Cambria" w:cs="Cambria"/>
          <w:color w:val="000000"/>
        </w:rPr>
        <w:t>n;</w:t>
      </w:r>
    </w:p>
    <w:p w14:paraId="000004F1" w14:textId="6816489F" w:rsidR="00CD3527" w:rsidRDefault="007F4AED">
      <w:pPr>
        <w:numPr>
          <w:ilvl w:val="0"/>
          <w:numId w:val="95"/>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Explain the extent to which the demographic and/or clinical makeup of the present sample reflects those intended to benefit from this work</w:t>
      </w:r>
      <w:r w:rsidR="00831B52">
        <w:rPr>
          <w:rFonts w:ascii="Cambria" w:eastAsia="Cambria" w:hAnsi="Cambria" w:cs="Cambria"/>
          <w:color w:val="000000"/>
        </w:rPr>
        <w:t>.</w:t>
      </w:r>
      <w:r>
        <w:rPr>
          <w:rFonts w:ascii="Cambria" w:eastAsia="Cambria" w:hAnsi="Cambria" w:cs="Cambria"/>
          <w:color w:val="000000"/>
        </w:rPr>
        <w:t> </w:t>
      </w:r>
    </w:p>
    <w:p w14:paraId="000004F2" w14:textId="77777777" w:rsidR="00CD3527" w:rsidRDefault="007F4AED">
      <w:pPr>
        <w:numPr>
          <w:ilvl w:val="0"/>
          <w:numId w:val="95"/>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What was the greatest possible risk posed to research participants completing this study? Explain how you balanced it with potential benefits and ways to mitigate such risk for the safety of participants. </w:t>
      </w:r>
    </w:p>
    <w:p w14:paraId="000004F3" w14:textId="77777777" w:rsidR="00CD3527" w:rsidRDefault="007F4AED">
      <w:pPr>
        <w:numPr>
          <w:ilvl w:val="0"/>
          <w:numId w:val="95"/>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Explain alternative assessments you considered that could have been used to measure your primary constructs of interest, and why you ultimately selected these particular assessments. [if brand new assessment -- comment on alternative components of study design]</w:t>
      </w:r>
    </w:p>
    <w:p w14:paraId="000004F4" w14:textId="77777777" w:rsidR="00CD3527" w:rsidRDefault="007F4AED">
      <w:pPr>
        <w:numPr>
          <w:ilvl w:val="0"/>
          <w:numId w:val="95"/>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Justify your rationale for the selection of the research design. </w:t>
      </w:r>
    </w:p>
    <w:p w14:paraId="000004F5" w14:textId="77777777" w:rsidR="00CD3527" w:rsidRDefault="00CD3527">
      <w:pPr>
        <w:pBdr>
          <w:top w:val="nil"/>
          <w:left w:val="nil"/>
          <w:bottom w:val="nil"/>
          <w:right w:val="nil"/>
          <w:between w:val="nil"/>
        </w:pBdr>
        <w:rPr>
          <w:rFonts w:ascii="Cambria" w:eastAsia="Cambria" w:hAnsi="Cambria" w:cs="Cambria"/>
          <w:color w:val="000000"/>
        </w:rPr>
      </w:pPr>
    </w:p>
    <w:p w14:paraId="000004F6" w14:textId="77777777" w:rsidR="00CD3527" w:rsidRDefault="007F4AED">
      <w:pPr>
        <w:pBdr>
          <w:top w:val="nil"/>
          <w:left w:val="nil"/>
          <w:bottom w:val="nil"/>
          <w:right w:val="nil"/>
          <w:between w:val="nil"/>
        </w:pBdr>
        <w:rPr>
          <w:rFonts w:ascii="Cambria" w:eastAsia="Cambria" w:hAnsi="Cambria" w:cs="Cambria"/>
          <w:b/>
          <w:color w:val="000000"/>
          <w:u w:val="single"/>
        </w:rPr>
      </w:pPr>
      <w:r>
        <w:rPr>
          <w:rFonts w:ascii="Cambria" w:eastAsia="Cambria" w:hAnsi="Cambria" w:cs="Cambria"/>
          <w:b/>
          <w:color w:val="000000"/>
          <w:u w:val="single"/>
        </w:rPr>
        <w:t>Analyses</w:t>
      </w:r>
    </w:p>
    <w:p w14:paraId="000004F7"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Example questions to address:</w:t>
      </w:r>
    </w:p>
    <w:p w14:paraId="000004F8" w14:textId="569F3A75" w:rsidR="00CD3527" w:rsidRDefault="007F4AED">
      <w:pPr>
        <w:numPr>
          <w:ilvl w:val="0"/>
          <w:numId w:val="94"/>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Explain your consideration of statistical power (e.g., a priori, post-hoc, effect sizes of prior studies)? Or, explain the process of recruiting you use</w:t>
      </w:r>
      <w:r w:rsidR="00831B52">
        <w:rPr>
          <w:rFonts w:ascii="Cambria" w:eastAsia="Cambria" w:hAnsi="Cambria" w:cs="Cambria"/>
          <w:color w:val="000000"/>
        </w:rPr>
        <w:t>d</w:t>
      </w:r>
      <w:r>
        <w:rPr>
          <w:rFonts w:ascii="Cambria" w:eastAsia="Cambria" w:hAnsi="Cambria" w:cs="Cambria"/>
          <w:color w:val="000000"/>
        </w:rPr>
        <w:t xml:space="preserve"> to reach saturation point (for qualitative study).</w:t>
      </w:r>
    </w:p>
    <w:p w14:paraId="000004F9" w14:textId="77777777" w:rsidR="00CD3527" w:rsidRDefault="007F4AED">
      <w:pPr>
        <w:numPr>
          <w:ilvl w:val="0"/>
          <w:numId w:val="94"/>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Explain and justify your handling of missing data.</w:t>
      </w:r>
    </w:p>
    <w:p w14:paraId="000004FA" w14:textId="77777777" w:rsidR="00CD3527" w:rsidRDefault="007F4AED">
      <w:pPr>
        <w:numPr>
          <w:ilvl w:val="0"/>
          <w:numId w:val="94"/>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Focusing on your primary data analytic approach, explain how you investigated statistical assumptions.</w:t>
      </w:r>
    </w:p>
    <w:p w14:paraId="000004FB" w14:textId="77777777" w:rsidR="00CD3527" w:rsidRDefault="007F4AED">
      <w:pPr>
        <w:numPr>
          <w:ilvl w:val="0"/>
          <w:numId w:val="94"/>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Explain how you considered alternative data analytic approaches and justify your selection.</w:t>
      </w:r>
    </w:p>
    <w:p w14:paraId="000004FC" w14:textId="77777777" w:rsidR="00CD3527" w:rsidRDefault="00CD3527">
      <w:pPr>
        <w:pBdr>
          <w:top w:val="nil"/>
          <w:left w:val="nil"/>
          <w:bottom w:val="nil"/>
          <w:right w:val="nil"/>
          <w:between w:val="nil"/>
        </w:pBdr>
        <w:rPr>
          <w:rFonts w:ascii="Cambria" w:eastAsia="Cambria" w:hAnsi="Cambria" w:cs="Cambria"/>
          <w:b/>
          <w:color w:val="000000"/>
          <w:u w:val="single"/>
        </w:rPr>
      </w:pPr>
    </w:p>
    <w:p w14:paraId="000004FD" w14:textId="77777777" w:rsidR="00CD3527" w:rsidRDefault="007F4AED">
      <w:pPr>
        <w:pBdr>
          <w:top w:val="nil"/>
          <w:left w:val="nil"/>
          <w:bottom w:val="nil"/>
          <w:right w:val="nil"/>
          <w:between w:val="nil"/>
        </w:pBdr>
        <w:rPr>
          <w:rFonts w:ascii="Cambria" w:eastAsia="Cambria" w:hAnsi="Cambria" w:cs="Cambria"/>
          <w:b/>
          <w:color w:val="000000"/>
          <w:u w:val="single"/>
        </w:rPr>
      </w:pPr>
      <w:r>
        <w:rPr>
          <w:rFonts w:ascii="Cambria" w:eastAsia="Cambria" w:hAnsi="Cambria" w:cs="Cambria"/>
          <w:b/>
          <w:color w:val="000000"/>
          <w:u w:val="single"/>
        </w:rPr>
        <w:t>Interpretation</w:t>
      </w:r>
    </w:p>
    <w:p w14:paraId="000004FE"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Example questions to address:</w:t>
      </w:r>
    </w:p>
    <w:p w14:paraId="000004FF" w14:textId="77777777" w:rsidR="00CD3527" w:rsidRDefault="007F4AED">
      <w:pPr>
        <w:numPr>
          <w:ilvl w:val="0"/>
          <w:numId w:val="88"/>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Briefly describe the most important design and methodological considerations to address current findings and limitations.</w:t>
      </w:r>
    </w:p>
    <w:p w14:paraId="00000500" w14:textId="77777777" w:rsidR="00CD3527" w:rsidRDefault="007F4AED">
      <w:pPr>
        <w:numPr>
          <w:ilvl w:val="0"/>
          <w:numId w:val="88"/>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lastRenderedPageBreak/>
        <w:t>Offer side-by-side comparison results with a related, prior study in the field [pick closest possible study]. Were your results (significance, effect size) similar or different, and explain possible reasons why (e.g., discrepancies in assessment / sample / study design). </w:t>
      </w:r>
    </w:p>
    <w:p w14:paraId="00000501" w14:textId="77777777" w:rsidR="00CD3527" w:rsidRDefault="007F4AED">
      <w:pPr>
        <w:numPr>
          <w:ilvl w:val="0"/>
          <w:numId w:val="88"/>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Monetary/time constraints aside, if you could redesign some aspect of the study to better test your research question/hypothesis, what would it be.</w:t>
      </w:r>
    </w:p>
    <w:p w14:paraId="00000502" w14:textId="77777777" w:rsidR="00CD3527" w:rsidRDefault="00CD3527">
      <w:pPr>
        <w:pBdr>
          <w:top w:val="nil"/>
          <w:left w:val="nil"/>
          <w:bottom w:val="nil"/>
          <w:right w:val="nil"/>
          <w:between w:val="nil"/>
        </w:pBdr>
        <w:rPr>
          <w:rFonts w:ascii="Cambria" w:eastAsia="Cambria" w:hAnsi="Cambria" w:cs="Cambria"/>
          <w:color w:val="000000"/>
        </w:rPr>
      </w:pPr>
    </w:p>
    <w:p w14:paraId="00000503" w14:textId="77777777" w:rsidR="00CD3527" w:rsidRDefault="007F4AED">
      <w:pPr>
        <w:pBdr>
          <w:top w:val="nil"/>
          <w:left w:val="nil"/>
          <w:bottom w:val="nil"/>
          <w:right w:val="nil"/>
          <w:between w:val="nil"/>
        </w:pBdr>
        <w:rPr>
          <w:rFonts w:ascii="Cambria" w:eastAsia="Cambria" w:hAnsi="Cambria" w:cs="Cambria"/>
          <w:b/>
          <w:color w:val="000000"/>
          <w:u w:val="single"/>
        </w:rPr>
      </w:pPr>
      <w:r>
        <w:rPr>
          <w:rFonts w:ascii="Cambria" w:eastAsia="Cambria" w:hAnsi="Cambria" w:cs="Cambria"/>
          <w:b/>
          <w:color w:val="000000"/>
          <w:u w:val="single"/>
        </w:rPr>
        <w:t>Implications</w:t>
      </w:r>
    </w:p>
    <w:p w14:paraId="00000504"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Example questions to address:</w:t>
      </w:r>
    </w:p>
    <w:p w14:paraId="00000505" w14:textId="77777777" w:rsidR="00CD3527" w:rsidRDefault="007F4AED">
      <w:pPr>
        <w:numPr>
          <w:ilvl w:val="0"/>
          <w:numId w:val="87"/>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What is the potential scientific and/or public health significance of your study?</w:t>
      </w:r>
    </w:p>
    <w:p w14:paraId="00000506" w14:textId="77777777" w:rsidR="00CD3527" w:rsidRDefault="007F4AED">
      <w:pPr>
        <w:numPr>
          <w:ilvl w:val="0"/>
          <w:numId w:val="87"/>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Highlight one aspect of your finding most likely to inform direct clinical care.</w:t>
      </w:r>
    </w:p>
    <w:p w14:paraId="00000507" w14:textId="77777777" w:rsidR="00CD3527" w:rsidRDefault="007F4AED">
      <w:pPr>
        <w:numPr>
          <w:ilvl w:val="0"/>
          <w:numId w:val="87"/>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What would be optimal “next step” target of investigation in this line of research?  </w:t>
      </w:r>
      <w:r>
        <w:rPr>
          <w:rFonts w:ascii="Cambria" w:eastAsia="Cambria" w:hAnsi="Cambria" w:cs="Cambria"/>
          <w:color w:val="000000"/>
        </w:rPr>
        <w:br/>
      </w:r>
    </w:p>
    <w:p w14:paraId="00000508" w14:textId="77777777" w:rsidR="00CD3527" w:rsidRDefault="00CD3527">
      <w:pPr>
        <w:pBdr>
          <w:top w:val="nil"/>
          <w:left w:val="nil"/>
          <w:bottom w:val="nil"/>
          <w:right w:val="nil"/>
          <w:between w:val="nil"/>
        </w:pBdr>
        <w:ind w:left="720"/>
        <w:rPr>
          <w:rFonts w:ascii="Cambria" w:eastAsia="Cambria" w:hAnsi="Cambria" w:cs="Cambria"/>
          <w:color w:val="FF0000"/>
        </w:rPr>
      </w:pPr>
    </w:p>
    <w:p w14:paraId="00000509" w14:textId="77777777" w:rsidR="00CD3527" w:rsidRDefault="00CD3527">
      <w:pPr>
        <w:pBdr>
          <w:top w:val="nil"/>
          <w:left w:val="nil"/>
          <w:bottom w:val="nil"/>
          <w:right w:val="nil"/>
          <w:between w:val="nil"/>
        </w:pBdr>
        <w:rPr>
          <w:rFonts w:ascii="Cambria" w:eastAsia="Cambria" w:hAnsi="Cambria" w:cs="Cambria"/>
          <w:color w:val="FF0000"/>
        </w:rPr>
      </w:pPr>
    </w:p>
    <w:p w14:paraId="0000050A" w14:textId="77777777" w:rsidR="00CD3527" w:rsidRDefault="007F4AED">
      <w:pPr>
        <w:pStyle w:val="Heading2"/>
      </w:pPr>
      <w:bookmarkStart w:id="59" w:name="_heading=h.1egqt2p" w:colFirst="0" w:colLast="0"/>
      <w:bookmarkEnd w:id="59"/>
      <w:r>
        <w:br w:type="page"/>
      </w:r>
      <w:r>
        <w:rPr>
          <w:i w:val="0"/>
          <w:sz w:val="32"/>
          <w:szCs w:val="32"/>
        </w:rPr>
        <w:lastRenderedPageBreak/>
        <w:t xml:space="preserve">Case Conference Presentation </w:t>
      </w:r>
    </w:p>
    <w:p w14:paraId="0000050B" w14:textId="77777777" w:rsidR="00CD3527" w:rsidRDefault="00CD3527">
      <w:pPr>
        <w:pBdr>
          <w:top w:val="nil"/>
          <w:left w:val="nil"/>
          <w:bottom w:val="nil"/>
          <w:right w:val="nil"/>
          <w:between w:val="nil"/>
        </w:pBdr>
        <w:rPr>
          <w:rFonts w:ascii="Cambria" w:eastAsia="Cambria" w:hAnsi="Cambria" w:cs="Cambria"/>
          <w:color w:val="000000"/>
        </w:rPr>
      </w:pPr>
    </w:p>
    <w:p w14:paraId="0000050C"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As noted earlier, students’ primary objective here is to demonstrate an ability to integrate theory, research, and practice. The faculty member in charge of Case Conference (Dr. Rosa), along with other attendees at the conference, will evaluate students’ competency along this dimension, as well as several others:</w:t>
      </w:r>
    </w:p>
    <w:p w14:paraId="0000050D" w14:textId="77777777" w:rsidR="00CD3527" w:rsidRDefault="00CD3527">
      <w:pPr>
        <w:pBdr>
          <w:top w:val="nil"/>
          <w:left w:val="nil"/>
          <w:bottom w:val="nil"/>
          <w:right w:val="nil"/>
          <w:between w:val="nil"/>
        </w:pBdr>
        <w:rPr>
          <w:rFonts w:ascii="Cambria" w:eastAsia="Cambria" w:hAnsi="Cambria" w:cs="Cambria"/>
          <w:color w:val="000000"/>
        </w:rPr>
      </w:pPr>
    </w:p>
    <w:p w14:paraId="0000050E"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-how well organized the presentation was;</w:t>
      </w:r>
    </w:p>
    <w:p w14:paraId="0000050F"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-how successfully the student integrated all aspects of the case, including background information, presenting problem, interactions with the client, and testing results;</w:t>
      </w:r>
    </w:p>
    <w:p w14:paraId="00000510"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-how successfully the student integrated multicultural aspects into the presentation;</w:t>
      </w:r>
    </w:p>
    <w:p w14:paraId="00000511"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-how successfully the student presented a well-supported case formulation (i.e., integrated research, theory, and practice);</w:t>
      </w:r>
    </w:p>
    <w:p w14:paraId="00000512"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-how successfully the student used technology, including PowerPoint and/or videos of sessions;</w:t>
      </w:r>
    </w:p>
    <w:p w14:paraId="00000513"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-how successfully the student fielded questions;</w:t>
      </w:r>
    </w:p>
    <w:p w14:paraId="00000514"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-how successfully the student furthered knowledge among attendees;</w:t>
      </w:r>
    </w:p>
    <w:p w14:paraId="00000515"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-how successful (overall) the presentation was.</w:t>
      </w:r>
    </w:p>
    <w:p w14:paraId="00000516" w14:textId="77777777" w:rsidR="00CD3527" w:rsidRDefault="00CD3527">
      <w:pPr>
        <w:pBdr>
          <w:top w:val="nil"/>
          <w:left w:val="nil"/>
          <w:bottom w:val="nil"/>
          <w:right w:val="nil"/>
          <w:between w:val="nil"/>
        </w:pBdr>
        <w:rPr>
          <w:rFonts w:ascii="Cambria" w:eastAsia="Cambria" w:hAnsi="Cambria" w:cs="Cambria"/>
          <w:color w:val="000000"/>
        </w:rPr>
      </w:pPr>
    </w:p>
    <w:p w14:paraId="00000517"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Some questions, then, for students to consider: How did your theoretical model affect your understanding of this case and the interventions you used? How did clinical progress (or lack thereof) affect your theoretical assumptions and/or choice of interventions? What does the research (on this disorder; these symptoms; specifically observed clinical phenomena in your client or yourself) say about best practices in this case? How did this research affect your clinical approach? Did your work with this particular client support (at least in part) the results of research? </w:t>
      </w:r>
    </w:p>
    <w:p w14:paraId="00000518" w14:textId="77777777" w:rsidR="00CD3527" w:rsidRDefault="00CD3527">
      <w:pPr>
        <w:pBdr>
          <w:top w:val="nil"/>
          <w:left w:val="nil"/>
          <w:bottom w:val="nil"/>
          <w:right w:val="nil"/>
          <w:between w:val="nil"/>
        </w:pBdr>
        <w:rPr>
          <w:rFonts w:ascii="Cambria" w:eastAsia="Cambria" w:hAnsi="Cambria" w:cs="Cambria"/>
          <w:color w:val="000000"/>
        </w:rPr>
      </w:pPr>
    </w:p>
    <w:p w14:paraId="00000519"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Consider strongly inviting your supervisor to your presentation. A supervisor’s presence invariably enhances the discussion that follows a student’s presentation. </w:t>
      </w:r>
    </w:p>
    <w:p w14:paraId="0000051A" w14:textId="77777777" w:rsidR="00CD3527" w:rsidRDefault="00CD3527">
      <w:pPr>
        <w:pBdr>
          <w:top w:val="nil"/>
          <w:left w:val="nil"/>
          <w:bottom w:val="nil"/>
          <w:right w:val="nil"/>
          <w:between w:val="nil"/>
        </w:pBdr>
        <w:rPr>
          <w:rFonts w:ascii="Cambria" w:eastAsia="Cambria" w:hAnsi="Cambria" w:cs="Cambria"/>
          <w:color w:val="000000"/>
        </w:rPr>
      </w:pPr>
    </w:p>
    <w:p w14:paraId="0000051B"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Your first slide should include title (e.g., "The case of Mr. Z: An eclectic treatment of dysthymia"), your name, the name of your advisor, the name of your supervisor, and the date of the presentation. Remember, of course, to use a pseudonym for your client throughout your report. </w:t>
      </w:r>
    </w:p>
    <w:p w14:paraId="0000051C" w14:textId="77777777" w:rsidR="00CD3527" w:rsidRDefault="00CD3527">
      <w:pPr>
        <w:pBdr>
          <w:top w:val="nil"/>
          <w:left w:val="nil"/>
          <w:bottom w:val="nil"/>
          <w:right w:val="nil"/>
          <w:between w:val="nil"/>
        </w:pBdr>
        <w:rPr>
          <w:rFonts w:ascii="Cambria" w:eastAsia="Cambria" w:hAnsi="Cambria" w:cs="Cambria"/>
          <w:color w:val="000000"/>
        </w:rPr>
      </w:pPr>
    </w:p>
    <w:p w14:paraId="0000051D" w14:textId="77777777" w:rsidR="00CD3527" w:rsidRDefault="007F4AED">
      <w:pPr>
        <w:pBdr>
          <w:top w:val="nil"/>
          <w:left w:val="nil"/>
          <w:bottom w:val="nil"/>
          <w:right w:val="nil"/>
          <w:between w:val="nil"/>
        </w:pBdr>
        <w:rPr>
          <w:rFonts w:ascii="Cambria" w:eastAsia="Cambria" w:hAnsi="Cambria" w:cs="Cambria"/>
          <w:color w:val="000000"/>
          <w:u w:val="single"/>
        </w:rPr>
      </w:pPr>
      <w:r>
        <w:rPr>
          <w:rFonts w:ascii="Cambria" w:eastAsia="Cambria" w:hAnsi="Cambria" w:cs="Cambria"/>
          <w:color w:val="000000"/>
          <w:u w:val="single"/>
        </w:rPr>
        <w:t>1. Presenting Picture (approximately 3-5 minutes)</w:t>
      </w:r>
    </w:p>
    <w:p w14:paraId="0000051E" w14:textId="77777777" w:rsidR="00CD3527" w:rsidRDefault="00CD3527">
      <w:pPr>
        <w:pBdr>
          <w:top w:val="nil"/>
          <w:left w:val="nil"/>
          <w:bottom w:val="nil"/>
          <w:right w:val="nil"/>
          <w:between w:val="nil"/>
        </w:pBdr>
        <w:rPr>
          <w:rFonts w:ascii="Cambria" w:eastAsia="Cambria" w:hAnsi="Cambria" w:cs="Cambria"/>
          <w:color w:val="000000"/>
        </w:rPr>
      </w:pPr>
    </w:p>
    <w:p w14:paraId="0000051F"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Note demographic data (age, sex, sexual orientation, education, occupation, ethnicity, marital or relationship status, number of children, living situation, etc.) and then describe concisely the client's presenting complaints (quoting if possible), appearance, attitude, demeanor, and goals and expectations when first seen. Often your initial reactions to the client's presentation will be illuminating. Why has the client come for help? Why now? Why here at the Dean-Hope Center (source of referral)?</w:t>
      </w:r>
      <w:r>
        <w:rPr>
          <w:rFonts w:ascii="Cambria" w:eastAsia="Cambria" w:hAnsi="Cambria" w:cs="Cambria"/>
          <w:color w:val="000000"/>
        </w:rPr>
        <w:br/>
      </w:r>
      <w:r>
        <w:rPr>
          <w:rFonts w:ascii="Cambria" w:eastAsia="Cambria" w:hAnsi="Cambria" w:cs="Cambria"/>
          <w:color w:val="000000"/>
        </w:rPr>
        <w:br/>
      </w:r>
      <w:r>
        <w:rPr>
          <w:rFonts w:ascii="Cambria" w:eastAsia="Cambria" w:hAnsi="Cambria" w:cs="Cambria"/>
          <w:color w:val="000000"/>
          <w:u w:val="single"/>
        </w:rPr>
        <w:lastRenderedPageBreak/>
        <w:t>2. Treatment History (5 minutes)</w:t>
      </w:r>
      <w:r>
        <w:rPr>
          <w:rFonts w:ascii="Cambria" w:eastAsia="Cambria" w:hAnsi="Cambria" w:cs="Cambria"/>
          <w:color w:val="000000"/>
        </w:rPr>
        <w:br/>
      </w:r>
    </w:p>
    <w:p w14:paraId="00000520"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Summarize the client's previous attempts to cope with his or her issues. When were these problems first experienced? What has the client tried to do about these problems previously? Describe previous treatments, (including non-traditional treatments), medications, and self-medications; describe the role of family, friends, and community support (including religious institutions).</w:t>
      </w:r>
      <w:r>
        <w:rPr>
          <w:rFonts w:ascii="Cambria" w:eastAsia="Cambria" w:hAnsi="Cambria" w:cs="Cambria"/>
          <w:color w:val="000000"/>
        </w:rPr>
        <w:br/>
      </w:r>
      <w:r>
        <w:rPr>
          <w:rFonts w:ascii="Cambria" w:eastAsia="Cambria" w:hAnsi="Cambria" w:cs="Cambria"/>
          <w:color w:val="000000"/>
        </w:rPr>
        <w:br/>
      </w:r>
      <w:r>
        <w:rPr>
          <w:rFonts w:ascii="Cambria" w:eastAsia="Cambria" w:hAnsi="Cambria" w:cs="Cambria"/>
          <w:color w:val="000000"/>
          <w:u w:val="single"/>
        </w:rPr>
        <w:t>3. Life History (10-15 minutes)</w:t>
      </w:r>
      <w:r>
        <w:rPr>
          <w:rFonts w:ascii="Cambria" w:eastAsia="Cambria" w:hAnsi="Cambria" w:cs="Cambria"/>
          <w:color w:val="000000"/>
        </w:rPr>
        <w:br/>
      </w:r>
    </w:p>
    <w:p w14:paraId="00000521"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Sketch the course of the client's life, citing such key details as significant illnesses and other trauma, moves, achievements, educational, religious, and occupational history, support systems, etc. Outline the constellation of the family of origin, include information about the client’s ethnic/racial identification, and describe past and present relationships with family members and significant others. Following Guideline #5 from the APA’s (2003) </w:t>
      </w:r>
      <w:r>
        <w:rPr>
          <w:rFonts w:ascii="Cambria" w:eastAsia="Cambria" w:hAnsi="Cambria" w:cs="Cambria"/>
          <w:i/>
          <w:color w:val="000000"/>
        </w:rPr>
        <w:t>Cultural Competency Guidelines</w:t>
      </w:r>
      <w:r>
        <w:rPr>
          <w:rFonts w:ascii="Cambria" w:eastAsia="Cambria" w:hAnsi="Cambria" w:cs="Cambria"/>
          <w:color w:val="000000"/>
        </w:rPr>
        <w:t xml:space="preserve"> (the need to consider the client-in-context): what is your understanding of the socio-cultural factors in the client’s life history that may be contributing to his/her clinical presentation? </w:t>
      </w:r>
      <w:r>
        <w:rPr>
          <w:rFonts w:ascii="Cambria" w:eastAsia="Cambria" w:hAnsi="Cambria" w:cs="Cambria"/>
          <w:color w:val="000000"/>
        </w:rPr>
        <w:br/>
      </w:r>
      <w:r>
        <w:rPr>
          <w:rFonts w:ascii="Cambria" w:eastAsia="Cambria" w:hAnsi="Cambria" w:cs="Cambria"/>
          <w:color w:val="000000"/>
        </w:rPr>
        <w:br/>
      </w:r>
      <w:r>
        <w:rPr>
          <w:rFonts w:ascii="Cambria" w:eastAsia="Cambria" w:hAnsi="Cambria" w:cs="Cambria"/>
          <w:color w:val="000000"/>
          <w:u w:val="single"/>
        </w:rPr>
        <w:t>4. Psychological Test Results (3-5 minutes)</w:t>
      </w:r>
      <w:r>
        <w:rPr>
          <w:rFonts w:ascii="Cambria" w:eastAsia="Cambria" w:hAnsi="Cambria" w:cs="Cambria"/>
          <w:color w:val="000000"/>
        </w:rPr>
        <w:br/>
      </w:r>
    </w:p>
    <w:p w14:paraId="00000522"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What data and hypotheses have been gleaned from the results of psychological testing (e.g., WAIS, Rorschach, BSI, BDI, etc.)? Were there any aspects of the assessment or interpretation of the results that need to be considered from a multicultural perspective? (See Guideline #5, Assessment section). </w:t>
      </w:r>
      <w:r>
        <w:rPr>
          <w:rFonts w:ascii="Cambria" w:eastAsia="Cambria" w:hAnsi="Cambria" w:cs="Cambria"/>
          <w:color w:val="000000"/>
        </w:rPr>
        <w:br/>
      </w:r>
      <w:r>
        <w:rPr>
          <w:rFonts w:ascii="Cambria" w:eastAsia="Cambria" w:hAnsi="Cambria" w:cs="Cambria"/>
          <w:color w:val="000000"/>
        </w:rPr>
        <w:br/>
      </w:r>
      <w:r>
        <w:rPr>
          <w:rFonts w:ascii="Cambria" w:eastAsia="Cambria" w:hAnsi="Cambria" w:cs="Cambria"/>
          <w:color w:val="000000"/>
          <w:u w:val="single"/>
        </w:rPr>
        <w:t>5. Diagnosis and Treatment Plan (10-15 minutes)</w:t>
      </w:r>
      <w:r>
        <w:rPr>
          <w:rFonts w:ascii="Cambria" w:eastAsia="Cambria" w:hAnsi="Cambria" w:cs="Cambria"/>
          <w:color w:val="000000"/>
        </w:rPr>
        <w:br/>
      </w:r>
    </w:p>
    <w:p w14:paraId="00000523"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State your working DSM-5 diagnosis and your conceptualization of the client's problems, strengths, underlying dynamics, defenses, and characterological issues. These need not be presented as if they were definitive. Indeed, changes in your understanding from the time you first started working with the client should be noted. Summarize the most salient facts about this disorder (e.g., symptomatology; prevalence; gender differences; prognosis; etiological theories). Following the outline for cultural formulation as stated in the DSM-5: what is your assessment of the impact of the client’s cultural context on his or her diagnosis? How have cultural considerations influenced your diagnosis, therapeutic relationship, and interventions?</w:t>
      </w:r>
    </w:p>
    <w:p w14:paraId="00000524" w14:textId="77777777" w:rsidR="00CD3527" w:rsidRDefault="00CD3527">
      <w:pPr>
        <w:pBdr>
          <w:top w:val="nil"/>
          <w:left w:val="nil"/>
          <w:bottom w:val="nil"/>
          <w:right w:val="nil"/>
          <w:between w:val="nil"/>
        </w:pBdr>
        <w:rPr>
          <w:rFonts w:ascii="Cambria" w:eastAsia="Cambria" w:hAnsi="Cambria" w:cs="Cambria"/>
          <w:color w:val="000000"/>
        </w:rPr>
      </w:pPr>
    </w:p>
    <w:p w14:paraId="00000525"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Describe your treatment approach (i.e., theoretical model and case formulation) and the reasons for it; describe your goals for this client. This discussion should also encompass an overview of the relevant literature on empirically supported approaches (Barlow, 2014) and may also include theory-driven and mechanism-driven approaches  Most importantly, you need to set in motion a hypothesis-driven process guided by the existing state of evidence, your client’s unique characteristics, contextual factors, and your client’s response to continuous evaluation of the intervention (Persons, 2012). What is your evaluation of the different findings and concepts in this literature? How </w:t>
      </w:r>
      <w:r>
        <w:rPr>
          <w:rFonts w:ascii="Cambria" w:eastAsia="Cambria" w:hAnsi="Cambria" w:cs="Cambria"/>
          <w:color w:val="000000"/>
        </w:rPr>
        <w:lastRenderedPageBreak/>
        <w:t xml:space="preserve">did you weigh the relative merits of the different approaches available? How has the literature informed your sense of how best to work with this client? To what extent did you attempt to integrate empirically supported treatments into this therapy? To what extent has your treatment approach deviated from previous treatments of this client? What is the sociocultural context of the treatment? How is your client responding to your intervention? </w:t>
      </w:r>
    </w:p>
    <w:p w14:paraId="00000526"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br/>
      </w:r>
      <w:r>
        <w:rPr>
          <w:rFonts w:ascii="Cambria" w:eastAsia="Cambria" w:hAnsi="Cambria" w:cs="Cambria"/>
          <w:color w:val="000000"/>
          <w:u w:val="single"/>
        </w:rPr>
        <w:t>6. Treatment Course (20-30 minutes)</w:t>
      </w:r>
      <w:r>
        <w:rPr>
          <w:rFonts w:ascii="Cambria" w:eastAsia="Cambria" w:hAnsi="Cambria" w:cs="Cambria"/>
          <w:color w:val="000000"/>
          <w:u w:val="single"/>
        </w:rPr>
        <w:br/>
      </w:r>
    </w:p>
    <w:p w14:paraId="00000527"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Describe the course of the treatment as a whole; how many sessions with what frequency over what period of time; variations in this pattern; fees paid; ancillary contacts or referrals; medications, etc. To what extent have issues of age, ethnicity, culture, religion, race, SES, and/or sexual orientation (both yours and the client’s) affected the nature and process of the treatment? Describe the current status of the client: To what extent improved, plans for changes in the treatment or further psychological testing, expected termination date, etc.</w:t>
      </w:r>
      <w:r>
        <w:rPr>
          <w:rFonts w:ascii="Cambria" w:eastAsia="Cambria" w:hAnsi="Cambria" w:cs="Cambria"/>
          <w:color w:val="000000"/>
        </w:rPr>
        <w:br/>
      </w:r>
    </w:p>
    <w:p w14:paraId="00000528"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Describe what has occurred over the course of your contacts. You will, of course, need to be selective in what you report and it is invariably better to go into detail about selected themes than to try to describe each session. One strategy is to divide the treatment into phases and then note themes, patterns of client-therapist interactions, progress and setbacks, etc. within each phase. Selective use of session dialogue—including presentation of video from sessions—can be very helpful in illustrating these and other clinical phenomena (e.g., working alliance, transference-countertransference, resistance, self-disclosure, changes in thoughts, feelings, or behaviors). "The truth is in the details." </w:t>
      </w:r>
    </w:p>
    <w:p w14:paraId="00000529" w14:textId="77777777" w:rsidR="00CD3527" w:rsidRDefault="00CD3527">
      <w:pPr>
        <w:pBdr>
          <w:top w:val="nil"/>
          <w:left w:val="nil"/>
          <w:bottom w:val="nil"/>
          <w:right w:val="nil"/>
          <w:between w:val="nil"/>
        </w:pBdr>
        <w:rPr>
          <w:rFonts w:ascii="Cambria" w:eastAsia="Cambria" w:hAnsi="Cambria" w:cs="Cambria"/>
          <w:color w:val="000000"/>
        </w:rPr>
      </w:pPr>
    </w:p>
    <w:p w14:paraId="0000052A" w14:textId="77777777" w:rsidR="00CD3527" w:rsidRDefault="007F4AED">
      <w:pPr>
        <w:pBdr>
          <w:top w:val="nil"/>
          <w:left w:val="nil"/>
          <w:bottom w:val="nil"/>
          <w:right w:val="nil"/>
          <w:between w:val="nil"/>
        </w:pBdr>
        <w:rPr>
          <w:rFonts w:ascii="Cambria" w:eastAsia="Cambria" w:hAnsi="Cambria" w:cs="Cambria"/>
          <w:color w:val="000000"/>
          <w:u w:val="single"/>
        </w:rPr>
      </w:pPr>
      <w:r>
        <w:rPr>
          <w:rFonts w:ascii="Cambria" w:eastAsia="Cambria" w:hAnsi="Cambria" w:cs="Cambria"/>
          <w:color w:val="000000"/>
        </w:rPr>
        <w:t xml:space="preserve">Remember that treatment effects are multidirectional. Include your reactions and feelings, including those associated with cultural differences between you and your client. Include, too, some account of your supervisory experience. How has treatment affected the client, his or her significant others, and you? </w:t>
      </w:r>
      <w:r>
        <w:rPr>
          <w:rFonts w:ascii="Cambria" w:eastAsia="Cambria" w:hAnsi="Cambria" w:cs="Cambria"/>
          <w:color w:val="000000"/>
        </w:rPr>
        <w:tab/>
      </w:r>
      <w:r>
        <w:rPr>
          <w:rFonts w:ascii="Cambria" w:eastAsia="Cambria" w:hAnsi="Cambria" w:cs="Cambria"/>
          <w:color w:val="000000"/>
        </w:rPr>
        <w:br/>
      </w:r>
      <w:r>
        <w:rPr>
          <w:rFonts w:ascii="Cambria" w:eastAsia="Cambria" w:hAnsi="Cambria" w:cs="Cambria"/>
          <w:color w:val="000000"/>
        </w:rPr>
        <w:br/>
      </w:r>
      <w:r>
        <w:rPr>
          <w:rFonts w:ascii="Cambria" w:eastAsia="Cambria" w:hAnsi="Cambria" w:cs="Cambria"/>
          <w:color w:val="000000"/>
          <w:u w:val="single"/>
        </w:rPr>
        <w:t>7. Conclusions and Treatment Recommendations (3-5 minutes)</w:t>
      </w:r>
    </w:p>
    <w:p w14:paraId="0000052B" w14:textId="77777777" w:rsidR="00CD3527" w:rsidRDefault="00CD3527">
      <w:pPr>
        <w:pBdr>
          <w:top w:val="nil"/>
          <w:left w:val="nil"/>
          <w:bottom w:val="nil"/>
          <w:right w:val="nil"/>
          <w:between w:val="nil"/>
        </w:pBdr>
        <w:rPr>
          <w:rFonts w:ascii="Cambria" w:eastAsia="Cambria" w:hAnsi="Cambria" w:cs="Cambria"/>
          <w:color w:val="000000"/>
        </w:rPr>
      </w:pPr>
    </w:p>
    <w:p w14:paraId="0000052C"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Summarize the progress that has been made, the client's prognosis, and plans for future treatment. How do you account for the progress that has been made? What has interfered with further progress? What questions do you have about this client or this treatment? How has the course of this treatment affected your theoretical model? Your assumptions about the active ingredients of therapeutic work? Your sense of what needs to be studied more? Provide a few references for the group to consider on the issues you’ve discussed. </w:t>
      </w:r>
    </w:p>
    <w:p w14:paraId="0000052D" w14:textId="77777777" w:rsidR="00CD3527" w:rsidRDefault="007F4AED">
      <w:pPr>
        <w:pBdr>
          <w:top w:val="nil"/>
          <w:left w:val="nil"/>
          <w:bottom w:val="nil"/>
          <w:right w:val="nil"/>
          <w:between w:val="nil"/>
        </w:pBdr>
        <w:rPr>
          <w:rFonts w:ascii="Cambria" w:eastAsia="Cambria" w:hAnsi="Cambria" w:cs="Cambria"/>
          <w:color w:val="000000"/>
          <w:u w:val="single"/>
        </w:rPr>
      </w:pPr>
      <w:r>
        <w:rPr>
          <w:rFonts w:ascii="Cambria" w:eastAsia="Cambria" w:hAnsi="Cambria" w:cs="Cambria"/>
          <w:color w:val="000000"/>
        </w:rPr>
        <w:br/>
      </w:r>
      <w:r>
        <w:rPr>
          <w:rFonts w:ascii="Cambria" w:eastAsia="Cambria" w:hAnsi="Cambria" w:cs="Cambria"/>
          <w:color w:val="000000"/>
          <w:u w:val="single"/>
        </w:rPr>
        <w:t xml:space="preserve">8. References </w:t>
      </w:r>
    </w:p>
    <w:p w14:paraId="0000052E" w14:textId="77777777" w:rsidR="00CD3527" w:rsidRDefault="00CD3527">
      <w:pPr>
        <w:pBdr>
          <w:top w:val="nil"/>
          <w:left w:val="nil"/>
          <w:bottom w:val="nil"/>
          <w:right w:val="nil"/>
          <w:between w:val="nil"/>
        </w:pBdr>
        <w:rPr>
          <w:rFonts w:ascii="Cambria" w:eastAsia="Cambria" w:hAnsi="Cambria" w:cs="Cambria"/>
          <w:color w:val="000000"/>
          <w:u w:val="single"/>
        </w:rPr>
      </w:pPr>
    </w:p>
    <w:p w14:paraId="0000052F" w14:textId="77777777" w:rsidR="00CD3527" w:rsidRDefault="007F4AED">
      <w:pPr>
        <w:pBdr>
          <w:top w:val="nil"/>
          <w:left w:val="nil"/>
          <w:bottom w:val="nil"/>
          <w:right w:val="nil"/>
          <w:between w:val="nil"/>
        </w:pBdr>
        <w:spacing w:after="120"/>
        <w:rPr>
          <w:rFonts w:ascii="Cambria" w:eastAsia="Cambria" w:hAnsi="Cambria" w:cs="Cambria"/>
          <w:color w:val="000000"/>
        </w:rPr>
      </w:pPr>
      <w:r>
        <w:rPr>
          <w:rFonts w:ascii="Cambria" w:eastAsia="Cambria" w:hAnsi="Cambria" w:cs="Cambria"/>
          <w:color w:val="000000"/>
        </w:rPr>
        <w:t xml:space="preserve">It is expected that you will refer to some of these sources (below) in preparing your presentation. In addition to these general sources, you should also use references </w:t>
      </w:r>
      <w:r>
        <w:rPr>
          <w:rFonts w:ascii="Cambria" w:eastAsia="Cambria" w:hAnsi="Cambria" w:cs="Cambria"/>
          <w:color w:val="000000"/>
        </w:rPr>
        <w:lastRenderedPageBreak/>
        <w:t xml:space="preserve">specific to your client's diagnosis or specific issues.  Please email your references to the program (i.e., faculty and students in years 1-3). </w:t>
      </w:r>
    </w:p>
    <w:p w14:paraId="00000530" w14:textId="77777777" w:rsidR="00CD3527" w:rsidRDefault="007F4AED">
      <w:pPr>
        <w:pBdr>
          <w:top w:val="nil"/>
          <w:left w:val="nil"/>
          <w:bottom w:val="nil"/>
          <w:right w:val="nil"/>
          <w:between w:val="nil"/>
        </w:pBdr>
        <w:ind w:left="720" w:hanging="720"/>
        <w:rPr>
          <w:rFonts w:ascii="Cambria" w:eastAsia="Cambria" w:hAnsi="Cambria" w:cs="Cambria"/>
          <w:color w:val="000000"/>
        </w:rPr>
      </w:pPr>
      <w:r>
        <w:rPr>
          <w:rFonts w:ascii="Cambria" w:eastAsia="Cambria" w:hAnsi="Cambria" w:cs="Cambria"/>
          <w:color w:val="000000"/>
        </w:rPr>
        <w:t xml:space="preserve">American Psychological Association. (2003). Guidelines on multicultural education, training, research, practice, and organizational change for psychologists. </w:t>
      </w:r>
      <w:r>
        <w:rPr>
          <w:rFonts w:ascii="Cambria" w:eastAsia="Cambria" w:hAnsi="Cambria" w:cs="Cambria"/>
          <w:i/>
          <w:color w:val="000000"/>
        </w:rPr>
        <w:t>American Psychologist, 58</w:t>
      </w:r>
      <w:r>
        <w:rPr>
          <w:rFonts w:ascii="Cambria" w:eastAsia="Cambria" w:hAnsi="Cambria" w:cs="Cambria"/>
          <w:color w:val="000000"/>
        </w:rPr>
        <w:t>, 377-402.</w:t>
      </w:r>
    </w:p>
    <w:p w14:paraId="00000531" w14:textId="4FDC2ED2" w:rsidR="00CD3527" w:rsidRDefault="007F4AED">
      <w:pPr>
        <w:rPr>
          <w:rFonts w:ascii="Cambria" w:eastAsia="Cambria" w:hAnsi="Cambria" w:cs="Cambria"/>
          <w:i/>
          <w:color w:val="222222"/>
          <w:highlight w:val="white"/>
        </w:rPr>
      </w:pPr>
      <w:r>
        <w:rPr>
          <w:rFonts w:ascii="Cambria" w:eastAsia="Cambria" w:hAnsi="Cambria" w:cs="Cambria"/>
          <w:color w:val="222222"/>
          <w:highlight w:val="white"/>
        </w:rPr>
        <w:t>Barlow, D. H. (Ed.). (20</w:t>
      </w:r>
      <w:r w:rsidR="00A36337">
        <w:rPr>
          <w:rFonts w:ascii="Cambria" w:eastAsia="Cambria" w:hAnsi="Cambria" w:cs="Cambria"/>
          <w:color w:val="222222"/>
          <w:highlight w:val="white"/>
        </w:rPr>
        <w:t>21</w:t>
      </w:r>
      <w:r>
        <w:rPr>
          <w:rFonts w:ascii="Cambria" w:eastAsia="Cambria" w:hAnsi="Cambria" w:cs="Cambria"/>
          <w:color w:val="222222"/>
          <w:highlight w:val="white"/>
        </w:rPr>
        <w:t>). </w:t>
      </w:r>
      <w:r>
        <w:rPr>
          <w:rFonts w:ascii="Cambria" w:eastAsia="Cambria" w:hAnsi="Cambria" w:cs="Cambria"/>
          <w:i/>
          <w:color w:val="222222"/>
          <w:highlight w:val="white"/>
        </w:rPr>
        <w:t xml:space="preserve">Clinical handbook of psychological disorders: A step-by-step </w:t>
      </w:r>
    </w:p>
    <w:p w14:paraId="00000533" w14:textId="03E00E22" w:rsidR="00CD3527" w:rsidRDefault="007F4AED" w:rsidP="00B3065A">
      <w:pPr>
        <w:ind w:firstLine="720"/>
        <w:rPr>
          <w:rFonts w:ascii="Cambria" w:eastAsia="Cambria" w:hAnsi="Cambria" w:cs="Cambria"/>
          <w:color w:val="000000"/>
        </w:rPr>
      </w:pPr>
      <w:r>
        <w:rPr>
          <w:rFonts w:ascii="Cambria" w:eastAsia="Cambria" w:hAnsi="Cambria" w:cs="Cambria"/>
          <w:i/>
          <w:color w:val="222222"/>
          <w:highlight w:val="white"/>
        </w:rPr>
        <w:t>treatment manual</w:t>
      </w:r>
      <w:r>
        <w:rPr>
          <w:rFonts w:ascii="Cambria" w:eastAsia="Cambria" w:hAnsi="Cambria" w:cs="Cambria"/>
          <w:color w:val="222222"/>
          <w:highlight w:val="white"/>
        </w:rPr>
        <w:t>. Guilford</w:t>
      </w:r>
      <w:r w:rsidR="00A36337">
        <w:rPr>
          <w:rFonts w:ascii="Cambria" w:eastAsia="Cambria" w:hAnsi="Cambria" w:cs="Cambria"/>
          <w:color w:val="222222"/>
          <w:highlight w:val="white"/>
        </w:rPr>
        <w:t>.</w:t>
      </w:r>
    </w:p>
    <w:p w14:paraId="00000534" w14:textId="77777777" w:rsidR="00CD3527" w:rsidRDefault="007F4AED">
      <w:pPr>
        <w:rPr>
          <w:rFonts w:ascii="Cambria" w:eastAsia="Cambria" w:hAnsi="Cambria" w:cs="Cambria"/>
          <w:i/>
          <w:color w:val="222222"/>
          <w:highlight w:val="white"/>
        </w:rPr>
      </w:pPr>
      <w:r>
        <w:rPr>
          <w:rFonts w:ascii="Cambria" w:eastAsia="Cambria" w:hAnsi="Cambria" w:cs="Cambria"/>
          <w:color w:val="222222"/>
          <w:highlight w:val="white"/>
        </w:rPr>
        <w:t xml:space="preserve">Creswell, J. W. (2014). </w:t>
      </w:r>
      <w:r>
        <w:rPr>
          <w:rFonts w:ascii="Cambria" w:eastAsia="Cambria" w:hAnsi="Cambria" w:cs="Cambria"/>
          <w:i/>
          <w:color w:val="222222"/>
          <w:highlight w:val="white"/>
        </w:rPr>
        <w:t xml:space="preserve">Research Design: Qualitative, Quantitative, and Mixed Methods </w:t>
      </w:r>
    </w:p>
    <w:p w14:paraId="00000535" w14:textId="458AF2FC" w:rsidR="00CD3527" w:rsidRDefault="007F4AED">
      <w:pPr>
        <w:ind w:firstLine="720"/>
        <w:rPr>
          <w:rFonts w:ascii="Cambria" w:eastAsia="Cambria" w:hAnsi="Cambria" w:cs="Cambria"/>
        </w:rPr>
      </w:pPr>
      <w:r>
        <w:rPr>
          <w:rFonts w:ascii="Cambria" w:eastAsia="Cambria" w:hAnsi="Cambria" w:cs="Cambria"/>
          <w:i/>
          <w:color w:val="222222"/>
          <w:highlight w:val="white"/>
        </w:rPr>
        <w:t xml:space="preserve">Approaches </w:t>
      </w:r>
      <w:r>
        <w:rPr>
          <w:rFonts w:ascii="Cambria" w:eastAsia="Cambria" w:hAnsi="Cambria" w:cs="Cambria"/>
          <w:color w:val="222222"/>
          <w:highlight w:val="white"/>
        </w:rPr>
        <w:t>(4</w:t>
      </w:r>
      <w:r>
        <w:rPr>
          <w:rFonts w:ascii="Cambria" w:eastAsia="Cambria" w:hAnsi="Cambria" w:cs="Cambria"/>
          <w:color w:val="222222"/>
          <w:highlight w:val="white"/>
          <w:vertAlign w:val="superscript"/>
        </w:rPr>
        <w:t>th</w:t>
      </w:r>
      <w:r>
        <w:rPr>
          <w:rFonts w:ascii="Cambria" w:eastAsia="Cambria" w:hAnsi="Cambria" w:cs="Cambria"/>
          <w:color w:val="222222"/>
          <w:highlight w:val="white"/>
        </w:rPr>
        <w:t xml:space="preserve"> ed.). Sage. </w:t>
      </w:r>
    </w:p>
    <w:p w14:paraId="00000536" w14:textId="77777777" w:rsidR="00CD3527" w:rsidRDefault="009052E7">
      <w:pPr>
        <w:pBdr>
          <w:top w:val="nil"/>
          <w:left w:val="nil"/>
          <w:bottom w:val="nil"/>
          <w:right w:val="nil"/>
          <w:between w:val="nil"/>
        </w:pBdr>
        <w:ind w:left="720" w:hanging="720"/>
        <w:rPr>
          <w:rFonts w:ascii="Cambria" w:eastAsia="Cambria" w:hAnsi="Cambria" w:cs="Cambria"/>
          <w:color w:val="000000"/>
        </w:rPr>
      </w:pPr>
      <w:hyperlink r:id="rId68">
        <w:r w:rsidR="007F4AED">
          <w:rPr>
            <w:rFonts w:ascii="Cambria" w:eastAsia="Cambria" w:hAnsi="Cambria" w:cs="Cambria"/>
            <w:color w:val="660099"/>
            <w:highlight w:val="white"/>
            <w:u w:val="single"/>
          </w:rPr>
          <w:t xml:space="preserve">Evidence-based practice in psychology. APA Presidential Task Force  </w:t>
        </w:r>
      </w:hyperlink>
      <w:hyperlink r:id="rId69">
        <w:r w:rsidR="007F4AED">
          <w:rPr>
            <w:rFonts w:ascii="Cambria" w:eastAsia="Cambria" w:hAnsi="Cambria" w:cs="Cambria"/>
            <w:i/>
            <w:color w:val="660099"/>
            <w:highlight w:val="white"/>
            <w:u w:val="single"/>
          </w:rPr>
          <w:t xml:space="preserve"> American Psychologist, 61</w:t>
        </w:r>
      </w:hyperlink>
      <w:hyperlink r:id="rId70">
        <w:r w:rsidR="007F4AED">
          <w:rPr>
            <w:rFonts w:ascii="Cambria" w:eastAsia="Cambria" w:hAnsi="Cambria" w:cs="Cambria"/>
            <w:color w:val="660099"/>
            <w:highlight w:val="white"/>
            <w:u w:val="single"/>
          </w:rPr>
          <w:t>(4), May-</w:t>
        </w:r>
      </w:hyperlink>
      <w:hyperlink r:id="rId71">
        <w:r w:rsidR="007F4AED">
          <w:rPr>
            <w:rFonts w:ascii="Cambria" w:eastAsia="Cambria" w:hAnsi="Cambria" w:cs="Cambria"/>
            <w:b/>
            <w:i/>
            <w:color w:val="660099"/>
            <w:highlight w:val="white"/>
            <w:u w:val="single"/>
          </w:rPr>
          <w:t>June</w:t>
        </w:r>
      </w:hyperlink>
      <w:hyperlink r:id="rId72">
        <w:r w:rsidR="007F4AED">
          <w:rPr>
            <w:rFonts w:ascii="Cambria" w:eastAsia="Cambria" w:hAnsi="Cambria" w:cs="Cambria"/>
            <w:color w:val="660099"/>
            <w:highlight w:val="white"/>
            <w:u w:val="single"/>
          </w:rPr>
          <w:t> 2006, 271-285</w:t>
        </w:r>
      </w:hyperlink>
      <w:r w:rsidR="007F4AED">
        <w:rPr>
          <w:rFonts w:ascii="Cambria" w:eastAsia="Cambria" w:hAnsi="Cambria" w:cs="Cambria"/>
          <w:color w:val="660099"/>
          <w:highlight w:val="white"/>
          <w:u w:val="single"/>
        </w:rPr>
        <w:t>.</w:t>
      </w:r>
      <w:r w:rsidR="007F4AED">
        <w:rPr>
          <w:rFonts w:ascii="Cambria" w:eastAsia="Cambria" w:hAnsi="Cambria" w:cs="Cambria"/>
          <w:color w:val="000000"/>
        </w:rPr>
        <w:t xml:space="preserve"> </w:t>
      </w:r>
    </w:p>
    <w:p w14:paraId="00000537" w14:textId="3751032D" w:rsidR="00CD3527" w:rsidRDefault="007F4AED">
      <w:pPr>
        <w:pBdr>
          <w:top w:val="nil"/>
          <w:left w:val="nil"/>
          <w:bottom w:val="nil"/>
          <w:right w:val="nil"/>
          <w:between w:val="nil"/>
        </w:pBdr>
        <w:ind w:left="720" w:hanging="720"/>
        <w:rPr>
          <w:rFonts w:ascii="Cambria" w:eastAsia="Cambria" w:hAnsi="Cambria" w:cs="Cambria"/>
          <w:color w:val="000000"/>
        </w:rPr>
      </w:pPr>
      <w:r>
        <w:rPr>
          <w:rFonts w:ascii="Cambria" w:eastAsia="Cambria" w:hAnsi="Cambria" w:cs="Cambria"/>
          <w:color w:val="000000"/>
        </w:rPr>
        <w:t>Gabbard, G. (Ed.) (20</w:t>
      </w:r>
      <w:r w:rsidR="00A36337">
        <w:rPr>
          <w:rFonts w:ascii="Cambria" w:eastAsia="Cambria" w:hAnsi="Cambria" w:cs="Cambria"/>
          <w:color w:val="000000"/>
        </w:rPr>
        <w:t>14</w:t>
      </w:r>
      <w:r>
        <w:rPr>
          <w:rFonts w:ascii="Cambria" w:eastAsia="Cambria" w:hAnsi="Cambria" w:cs="Cambria"/>
          <w:color w:val="000000"/>
        </w:rPr>
        <w:t xml:space="preserve">). </w:t>
      </w:r>
      <w:r>
        <w:rPr>
          <w:rFonts w:ascii="Cambria" w:eastAsia="Cambria" w:hAnsi="Cambria" w:cs="Cambria"/>
          <w:i/>
          <w:color w:val="000000"/>
        </w:rPr>
        <w:t>Treatments of psychiatric disorders</w:t>
      </w:r>
      <w:r>
        <w:rPr>
          <w:rFonts w:ascii="Cambria" w:eastAsia="Cambria" w:hAnsi="Cambria" w:cs="Cambria"/>
          <w:color w:val="000000"/>
        </w:rPr>
        <w:t xml:space="preserve"> (</w:t>
      </w:r>
      <w:r w:rsidR="00A36337">
        <w:rPr>
          <w:rFonts w:ascii="Cambria" w:eastAsia="Cambria" w:hAnsi="Cambria" w:cs="Cambria"/>
          <w:color w:val="000000"/>
        </w:rPr>
        <w:t>5</w:t>
      </w:r>
      <w:r>
        <w:rPr>
          <w:rFonts w:ascii="Cambria" w:eastAsia="Cambria" w:hAnsi="Cambria" w:cs="Cambria"/>
          <w:color w:val="000000"/>
        </w:rPr>
        <w:t>th Ed.). American Psychiatric Press.</w:t>
      </w:r>
    </w:p>
    <w:p w14:paraId="00000538" w14:textId="77777777" w:rsidR="00CD3527" w:rsidRDefault="007F4AED">
      <w:pPr>
        <w:rPr>
          <w:rFonts w:ascii="Cambria" w:eastAsia="Cambria" w:hAnsi="Cambria" w:cs="Cambria"/>
          <w:i/>
          <w:color w:val="222222"/>
          <w:highlight w:val="white"/>
        </w:rPr>
      </w:pPr>
      <w:r>
        <w:rPr>
          <w:rFonts w:ascii="Cambria" w:eastAsia="Cambria" w:hAnsi="Cambria" w:cs="Cambria"/>
          <w:color w:val="222222"/>
          <w:highlight w:val="white"/>
        </w:rPr>
        <w:t xml:space="preserve">Galvan, J.L. (2017). </w:t>
      </w:r>
      <w:r>
        <w:rPr>
          <w:rFonts w:ascii="Cambria" w:eastAsia="Cambria" w:hAnsi="Cambria" w:cs="Cambria"/>
          <w:i/>
          <w:color w:val="222222"/>
          <w:highlight w:val="white"/>
        </w:rPr>
        <w:t xml:space="preserve">Writing literature reviews: A guide for students of the social and </w:t>
      </w:r>
    </w:p>
    <w:p w14:paraId="00000539" w14:textId="39F3A047" w:rsidR="00CD3527" w:rsidRDefault="007F4AED">
      <w:pPr>
        <w:ind w:firstLine="720"/>
        <w:rPr>
          <w:rFonts w:ascii="Cambria" w:eastAsia="Cambria" w:hAnsi="Cambria" w:cs="Cambria"/>
        </w:rPr>
      </w:pPr>
      <w:r>
        <w:rPr>
          <w:rFonts w:ascii="Cambria" w:eastAsia="Cambria" w:hAnsi="Cambria" w:cs="Cambria"/>
          <w:i/>
          <w:color w:val="222222"/>
          <w:highlight w:val="white"/>
        </w:rPr>
        <w:t>behavioral sciences</w:t>
      </w:r>
      <w:r>
        <w:rPr>
          <w:rFonts w:ascii="Cambria" w:eastAsia="Cambria" w:hAnsi="Cambria" w:cs="Cambria"/>
          <w:color w:val="222222"/>
          <w:highlight w:val="white"/>
        </w:rPr>
        <w:t xml:space="preserve">. Routledge. </w:t>
      </w:r>
    </w:p>
    <w:p w14:paraId="0000053A" w14:textId="77777777" w:rsidR="00CD3527" w:rsidRDefault="007F4AED">
      <w:pPr>
        <w:rPr>
          <w:rFonts w:ascii="Cambria" w:eastAsia="Cambria" w:hAnsi="Cambria" w:cs="Cambria"/>
        </w:rPr>
      </w:pPr>
      <w:r>
        <w:rPr>
          <w:rFonts w:ascii="Cambria" w:eastAsia="Cambria" w:hAnsi="Cambria" w:cs="Cambria"/>
          <w:color w:val="222222"/>
          <w:highlight w:val="white"/>
        </w:rPr>
        <w:t xml:space="preserve">Goodson, P. (2012). </w:t>
      </w:r>
      <w:r>
        <w:rPr>
          <w:rFonts w:ascii="Cambria" w:eastAsia="Cambria" w:hAnsi="Cambria" w:cs="Cambria"/>
          <w:i/>
          <w:color w:val="222222"/>
          <w:highlight w:val="white"/>
        </w:rPr>
        <w:t>Becoming an academic writer</w:t>
      </w:r>
      <w:r>
        <w:rPr>
          <w:rFonts w:ascii="Cambria" w:eastAsia="Cambria" w:hAnsi="Cambria" w:cs="Cambria"/>
          <w:color w:val="222222"/>
          <w:highlight w:val="white"/>
        </w:rPr>
        <w:t>. Thousand Oaks, CA: Sage. </w:t>
      </w:r>
    </w:p>
    <w:p w14:paraId="0000053B" w14:textId="77777777" w:rsidR="00CD3527" w:rsidRDefault="007F4AED">
      <w:pPr>
        <w:rPr>
          <w:rFonts w:ascii="Cambria" w:eastAsia="Cambria" w:hAnsi="Cambria" w:cs="Cambria"/>
          <w:i/>
          <w:color w:val="222222"/>
          <w:highlight w:val="white"/>
        </w:rPr>
      </w:pPr>
      <w:r>
        <w:rPr>
          <w:rFonts w:ascii="Cambria" w:eastAsia="Cambria" w:hAnsi="Cambria" w:cs="Cambria"/>
          <w:color w:val="222222"/>
          <w:highlight w:val="white"/>
        </w:rPr>
        <w:t xml:space="preserve">Graff, G. &amp; Birkenstein, C. (2014). </w:t>
      </w:r>
      <w:r>
        <w:rPr>
          <w:rFonts w:ascii="Cambria" w:eastAsia="Cambria" w:hAnsi="Cambria" w:cs="Cambria"/>
          <w:i/>
          <w:color w:val="222222"/>
          <w:highlight w:val="white"/>
        </w:rPr>
        <w:t xml:space="preserve">They Say / I Say: The Moves That matter in </w:t>
      </w:r>
    </w:p>
    <w:p w14:paraId="0000053C" w14:textId="52588FD8" w:rsidR="00CD3527" w:rsidRDefault="007F4AED">
      <w:pPr>
        <w:ind w:firstLine="720"/>
        <w:rPr>
          <w:rFonts w:ascii="Cambria" w:eastAsia="Cambria" w:hAnsi="Cambria" w:cs="Cambria"/>
        </w:rPr>
      </w:pPr>
      <w:r>
        <w:rPr>
          <w:rFonts w:ascii="Cambria" w:eastAsia="Cambria" w:hAnsi="Cambria" w:cs="Cambria"/>
          <w:i/>
          <w:color w:val="222222"/>
          <w:highlight w:val="white"/>
        </w:rPr>
        <w:t>academic writing</w:t>
      </w:r>
      <w:r>
        <w:rPr>
          <w:rFonts w:ascii="Cambria" w:eastAsia="Cambria" w:hAnsi="Cambria" w:cs="Cambria"/>
          <w:color w:val="222222"/>
          <w:highlight w:val="white"/>
        </w:rPr>
        <w:t xml:space="preserve">. Guildan Media. </w:t>
      </w:r>
    </w:p>
    <w:p w14:paraId="0000053D" w14:textId="6D0ACF2F" w:rsidR="00CD3527" w:rsidRDefault="007F4AED">
      <w:pPr>
        <w:pBdr>
          <w:top w:val="nil"/>
          <w:left w:val="nil"/>
          <w:bottom w:val="nil"/>
          <w:right w:val="nil"/>
          <w:between w:val="nil"/>
        </w:pBdr>
        <w:ind w:left="720" w:hanging="720"/>
        <w:rPr>
          <w:rFonts w:ascii="Cambria" w:eastAsia="Cambria" w:hAnsi="Cambria" w:cs="Cambria"/>
          <w:color w:val="000000"/>
        </w:rPr>
      </w:pPr>
      <w:r>
        <w:rPr>
          <w:rFonts w:ascii="Cambria" w:eastAsia="Cambria" w:hAnsi="Cambria" w:cs="Cambria"/>
          <w:color w:val="000000"/>
        </w:rPr>
        <w:t xml:space="preserve">Nathan, P. E., &amp; Gorman, J. M. (2015). </w:t>
      </w:r>
      <w:r>
        <w:rPr>
          <w:rFonts w:ascii="Cambria" w:eastAsia="Cambria" w:hAnsi="Cambria" w:cs="Cambria"/>
          <w:i/>
          <w:color w:val="000000"/>
        </w:rPr>
        <w:t>A guide to treatments that work</w:t>
      </w:r>
      <w:r>
        <w:rPr>
          <w:rFonts w:ascii="Cambria" w:eastAsia="Cambria" w:hAnsi="Cambria" w:cs="Cambria"/>
          <w:color w:val="000000"/>
        </w:rPr>
        <w:t xml:space="preserve"> (</w:t>
      </w:r>
      <w:r w:rsidR="00A36337">
        <w:rPr>
          <w:rFonts w:ascii="Cambria" w:eastAsia="Cambria" w:hAnsi="Cambria" w:cs="Cambria"/>
          <w:color w:val="000000"/>
        </w:rPr>
        <w:t>4th</w:t>
      </w:r>
      <w:r>
        <w:rPr>
          <w:rFonts w:ascii="Cambria" w:eastAsia="Cambria" w:hAnsi="Cambria" w:cs="Cambria"/>
          <w:color w:val="000000"/>
        </w:rPr>
        <w:t xml:space="preserve"> Ed.). Oxford University Press. </w:t>
      </w:r>
    </w:p>
    <w:p w14:paraId="0000053E" w14:textId="77777777" w:rsidR="00CD3527" w:rsidRDefault="007F4AED">
      <w:pPr>
        <w:pBdr>
          <w:top w:val="nil"/>
          <w:left w:val="nil"/>
          <w:bottom w:val="nil"/>
          <w:right w:val="nil"/>
          <w:between w:val="nil"/>
        </w:pBdr>
        <w:ind w:left="720" w:hanging="720"/>
        <w:rPr>
          <w:rFonts w:ascii="Cambria" w:eastAsia="Cambria" w:hAnsi="Cambria" w:cs="Cambria"/>
          <w:color w:val="000000"/>
        </w:rPr>
      </w:pPr>
      <w:r>
        <w:rPr>
          <w:rFonts w:ascii="Cambria" w:eastAsia="Cambria" w:hAnsi="Cambria" w:cs="Cambria"/>
          <w:color w:val="000000"/>
        </w:rPr>
        <w:t xml:space="preserve">Norcross, J.C. &amp; Lambert, M.J. (2019). </w:t>
      </w:r>
      <w:r>
        <w:rPr>
          <w:rFonts w:ascii="Cambria" w:eastAsia="Cambria" w:hAnsi="Cambria" w:cs="Cambria"/>
          <w:i/>
          <w:color w:val="000000"/>
        </w:rPr>
        <w:t>Psychotherapy relationships that work</w:t>
      </w:r>
      <w:r>
        <w:rPr>
          <w:rFonts w:ascii="Cambria" w:eastAsia="Cambria" w:hAnsi="Cambria" w:cs="Cambria"/>
          <w:color w:val="000000"/>
        </w:rPr>
        <w:t>. (3</w:t>
      </w:r>
      <w:r>
        <w:rPr>
          <w:rFonts w:ascii="Cambria" w:eastAsia="Cambria" w:hAnsi="Cambria" w:cs="Cambria"/>
          <w:color w:val="000000"/>
          <w:vertAlign w:val="superscript"/>
        </w:rPr>
        <w:t>rd</w:t>
      </w:r>
      <w:r>
        <w:rPr>
          <w:rFonts w:ascii="Cambria" w:eastAsia="Cambria" w:hAnsi="Cambria" w:cs="Cambria"/>
          <w:color w:val="000000"/>
        </w:rPr>
        <w:t xml:space="preserve"> Edition) NY: Oxford University Press.</w:t>
      </w:r>
    </w:p>
    <w:p w14:paraId="0000053F" w14:textId="77777777" w:rsidR="00CD3527" w:rsidRDefault="007F4AED">
      <w:pPr>
        <w:pBdr>
          <w:top w:val="nil"/>
          <w:left w:val="nil"/>
          <w:bottom w:val="nil"/>
          <w:right w:val="nil"/>
          <w:between w:val="nil"/>
        </w:pBdr>
        <w:ind w:left="720" w:hanging="720"/>
        <w:rPr>
          <w:rFonts w:ascii="Cambria" w:eastAsia="Cambria" w:hAnsi="Cambria" w:cs="Cambria"/>
          <w:color w:val="222222"/>
          <w:highlight w:val="white"/>
        </w:rPr>
      </w:pPr>
      <w:r>
        <w:rPr>
          <w:rFonts w:ascii="Cambria" w:eastAsia="Cambria" w:hAnsi="Cambria" w:cs="Cambria"/>
          <w:color w:val="222222"/>
          <w:highlight w:val="white"/>
        </w:rPr>
        <w:t>Persons, J. B. (2012). </w:t>
      </w:r>
      <w:r>
        <w:rPr>
          <w:rFonts w:ascii="Cambria" w:eastAsia="Cambria" w:hAnsi="Cambria" w:cs="Cambria"/>
          <w:i/>
          <w:color w:val="222222"/>
          <w:highlight w:val="white"/>
        </w:rPr>
        <w:t>The case formulation approach to cognitive-behavior therapy</w:t>
      </w:r>
      <w:r>
        <w:rPr>
          <w:rFonts w:ascii="Cambria" w:eastAsia="Cambria" w:hAnsi="Cambria" w:cs="Cambria"/>
          <w:color w:val="222222"/>
          <w:highlight w:val="white"/>
        </w:rPr>
        <w:t>. Guilford Press.</w:t>
      </w:r>
    </w:p>
    <w:p w14:paraId="00000540" w14:textId="77777777" w:rsidR="00CD3527" w:rsidRDefault="007F4AED">
      <w:pPr>
        <w:rPr>
          <w:rFonts w:ascii="Cambria" w:eastAsia="Cambria" w:hAnsi="Cambria" w:cs="Cambria"/>
          <w:i/>
          <w:color w:val="222222"/>
          <w:highlight w:val="white"/>
        </w:rPr>
      </w:pPr>
      <w:r>
        <w:rPr>
          <w:rFonts w:ascii="Cambria" w:eastAsia="Cambria" w:hAnsi="Cambria" w:cs="Cambria"/>
          <w:color w:val="222222"/>
          <w:highlight w:val="white"/>
        </w:rPr>
        <w:t>Sue, D. W., Sue, D., Neville, H. A., &amp; Smith, L. (2019). </w:t>
      </w:r>
      <w:r>
        <w:rPr>
          <w:rFonts w:ascii="Cambria" w:eastAsia="Cambria" w:hAnsi="Cambria" w:cs="Cambria"/>
          <w:i/>
          <w:color w:val="222222"/>
          <w:highlight w:val="white"/>
        </w:rPr>
        <w:t xml:space="preserve">Counseling the culturally diverse: </w:t>
      </w:r>
    </w:p>
    <w:p w14:paraId="00000541" w14:textId="77777777" w:rsidR="00CD3527" w:rsidRDefault="007F4AED">
      <w:pPr>
        <w:rPr>
          <w:rFonts w:ascii="Cambria" w:eastAsia="Cambria" w:hAnsi="Cambria" w:cs="Cambria"/>
          <w:color w:val="222222"/>
          <w:highlight w:val="white"/>
        </w:rPr>
      </w:pPr>
      <w:r>
        <w:rPr>
          <w:rFonts w:ascii="Cambria" w:eastAsia="Cambria" w:hAnsi="Cambria" w:cs="Cambria"/>
          <w:i/>
          <w:color w:val="222222"/>
          <w:highlight w:val="white"/>
        </w:rPr>
        <w:tab/>
        <w:t>Theory and practice</w:t>
      </w:r>
      <w:r>
        <w:rPr>
          <w:rFonts w:ascii="Cambria" w:eastAsia="Cambria" w:hAnsi="Cambria" w:cs="Cambria"/>
          <w:color w:val="222222"/>
          <w:highlight w:val="white"/>
        </w:rPr>
        <w:t>. John Wiley &amp; Sons.</w:t>
      </w:r>
    </w:p>
    <w:p w14:paraId="00000542" w14:textId="77777777" w:rsidR="00CD3527" w:rsidRDefault="007F4AED">
      <w:pPr>
        <w:rPr>
          <w:rFonts w:ascii="Cambria" w:eastAsia="Cambria" w:hAnsi="Cambria" w:cs="Cambria"/>
          <w:color w:val="222222"/>
          <w:highlight w:val="white"/>
        </w:rPr>
      </w:pPr>
      <w:r>
        <w:rPr>
          <w:rFonts w:ascii="Cambria" w:eastAsia="Cambria" w:hAnsi="Cambria" w:cs="Cambria"/>
          <w:color w:val="222222"/>
          <w:highlight w:val="white"/>
        </w:rPr>
        <w:t xml:space="preserve">Silvia, P. (2018). </w:t>
      </w:r>
      <w:r>
        <w:rPr>
          <w:rFonts w:ascii="Cambria" w:eastAsia="Cambria" w:hAnsi="Cambria" w:cs="Cambria"/>
          <w:i/>
          <w:color w:val="222222"/>
          <w:highlight w:val="white"/>
        </w:rPr>
        <w:t>How to write a lot: A Practical guide to productive academic writing</w:t>
      </w:r>
      <w:r>
        <w:rPr>
          <w:rFonts w:ascii="Cambria" w:eastAsia="Cambria" w:hAnsi="Cambria" w:cs="Cambria"/>
          <w:color w:val="222222"/>
          <w:highlight w:val="white"/>
        </w:rPr>
        <w:t xml:space="preserve">. </w:t>
      </w:r>
    </w:p>
    <w:p w14:paraId="00000543" w14:textId="52BB3A74" w:rsidR="00CD3527" w:rsidRDefault="007F4AED">
      <w:pPr>
        <w:rPr>
          <w:rFonts w:ascii="Cambria" w:eastAsia="Cambria" w:hAnsi="Cambria" w:cs="Cambria"/>
        </w:rPr>
      </w:pPr>
      <w:r>
        <w:rPr>
          <w:rFonts w:ascii="Cambria" w:eastAsia="Cambria" w:hAnsi="Cambria" w:cs="Cambria"/>
          <w:color w:val="222222"/>
          <w:highlight w:val="white"/>
        </w:rPr>
        <w:tab/>
        <w:t>APA Life Tools.</w:t>
      </w:r>
    </w:p>
    <w:p w14:paraId="00000544" w14:textId="77777777" w:rsidR="00CD3527" w:rsidRDefault="007F4AED">
      <w:pPr>
        <w:rPr>
          <w:rFonts w:ascii="Cambria" w:eastAsia="Cambria" w:hAnsi="Cambria" w:cs="Cambria"/>
          <w:i/>
          <w:color w:val="222222"/>
          <w:highlight w:val="white"/>
        </w:rPr>
      </w:pPr>
      <w:r>
        <w:rPr>
          <w:rFonts w:ascii="Cambria" w:eastAsia="Cambria" w:hAnsi="Cambria" w:cs="Cambria"/>
          <w:color w:val="222222"/>
          <w:highlight w:val="white"/>
        </w:rPr>
        <w:t xml:space="preserve">Silvia, P. (2014). </w:t>
      </w:r>
      <w:r>
        <w:rPr>
          <w:rFonts w:ascii="Cambria" w:eastAsia="Cambria" w:hAnsi="Cambria" w:cs="Cambria"/>
          <w:i/>
          <w:color w:val="222222"/>
          <w:highlight w:val="white"/>
        </w:rPr>
        <w:t xml:space="preserve">Write it up: Practical strategies for writing and publishing journal </w:t>
      </w:r>
    </w:p>
    <w:p w14:paraId="00000545" w14:textId="73BE620F" w:rsidR="00CD3527" w:rsidRDefault="007F4AED">
      <w:pPr>
        <w:ind w:firstLine="720"/>
        <w:rPr>
          <w:rFonts w:ascii="Cambria" w:eastAsia="Cambria" w:hAnsi="Cambria" w:cs="Cambria"/>
        </w:rPr>
      </w:pPr>
      <w:r>
        <w:rPr>
          <w:rFonts w:ascii="Cambria" w:eastAsia="Cambria" w:hAnsi="Cambria" w:cs="Cambria"/>
          <w:i/>
          <w:color w:val="222222"/>
          <w:highlight w:val="white"/>
        </w:rPr>
        <w:t>articles.</w:t>
      </w:r>
      <w:r>
        <w:rPr>
          <w:rFonts w:ascii="Cambria" w:eastAsia="Cambria" w:hAnsi="Cambria" w:cs="Cambria"/>
          <w:color w:val="222222"/>
          <w:highlight w:val="white"/>
        </w:rPr>
        <w:t xml:space="preserve"> APA Books. </w:t>
      </w:r>
    </w:p>
    <w:p w14:paraId="00000546" w14:textId="69C4C532" w:rsidR="00CD3527" w:rsidRDefault="007F4AED">
      <w:pPr>
        <w:rPr>
          <w:rFonts w:ascii="Cambria" w:eastAsia="Cambria" w:hAnsi="Cambria" w:cs="Cambria"/>
        </w:rPr>
      </w:pPr>
      <w:r>
        <w:rPr>
          <w:rFonts w:ascii="Cambria" w:eastAsia="Cambria" w:hAnsi="Cambria" w:cs="Cambria"/>
          <w:color w:val="222222"/>
          <w:highlight w:val="white"/>
        </w:rPr>
        <w:t xml:space="preserve">Strunk Jr., W., &amp; White, E. B. (2019). </w:t>
      </w:r>
      <w:r w:rsidRPr="00B3065A">
        <w:rPr>
          <w:rFonts w:ascii="Cambria" w:eastAsia="Cambria" w:hAnsi="Cambria" w:cs="Cambria"/>
          <w:i/>
          <w:iCs/>
          <w:color w:val="222222"/>
          <w:highlight w:val="white"/>
        </w:rPr>
        <w:t>Elements of style</w:t>
      </w:r>
      <w:r>
        <w:rPr>
          <w:rFonts w:ascii="Cambria" w:eastAsia="Cambria" w:hAnsi="Cambria" w:cs="Cambria"/>
          <w:color w:val="222222"/>
          <w:highlight w:val="white"/>
        </w:rPr>
        <w:t xml:space="preserve"> (4</w:t>
      </w:r>
      <w:r>
        <w:rPr>
          <w:rFonts w:ascii="Cambria" w:eastAsia="Cambria" w:hAnsi="Cambria" w:cs="Cambria"/>
          <w:color w:val="222222"/>
          <w:highlight w:val="white"/>
          <w:vertAlign w:val="superscript"/>
        </w:rPr>
        <w:t>th</w:t>
      </w:r>
      <w:r>
        <w:rPr>
          <w:rFonts w:ascii="Cambria" w:eastAsia="Cambria" w:hAnsi="Cambria" w:cs="Cambria"/>
          <w:color w:val="222222"/>
          <w:highlight w:val="white"/>
        </w:rPr>
        <w:t xml:space="preserve"> Ed.). Pearson.</w:t>
      </w:r>
    </w:p>
    <w:p w14:paraId="00000547" w14:textId="77777777" w:rsidR="00CD3527" w:rsidRDefault="007F4AED">
      <w:pPr>
        <w:rPr>
          <w:rFonts w:ascii="Cambria" w:eastAsia="Cambria" w:hAnsi="Cambria" w:cs="Cambria"/>
        </w:rPr>
      </w:pPr>
      <w:r>
        <w:rPr>
          <w:rFonts w:ascii="Cambria" w:eastAsia="Cambria" w:hAnsi="Cambria" w:cs="Cambria"/>
          <w:color w:val="222222"/>
          <w:highlight w:val="white"/>
        </w:rPr>
        <w:t xml:space="preserve">Sword, H. (2012). </w:t>
      </w:r>
      <w:r>
        <w:rPr>
          <w:rFonts w:ascii="Cambria" w:eastAsia="Cambria" w:hAnsi="Cambria" w:cs="Cambria"/>
          <w:i/>
          <w:color w:val="222222"/>
          <w:highlight w:val="white"/>
        </w:rPr>
        <w:t>Stylish academic writing</w:t>
      </w:r>
      <w:r>
        <w:rPr>
          <w:rFonts w:ascii="Cambria" w:eastAsia="Cambria" w:hAnsi="Cambria" w:cs="Cambria"/>
          <w:color w:val="222222"/>
          <w:highlight w:val="white"/>
        </w:rPr>
        <w:t xml:space="preserve">. Cambridge; Harvard University Press. </w:t>
      </w:r>
    </w:p>
    <w:p w14:paraId="00000548" w14:textId="77777777" w:rsidR="00CD3527" w:rsidRDefault="007F4AED">
      <w:pPr>
        <w:rPr>
          <w:rFonts w:ascii="Cambria" w:eastAsia="Cambria" w:hAnsi="Cambria" w:cs="Cambria"/>
          <w:color w:val="222222"/>
          <w:highlight w:val="white"/>
        </w:rPr>
      </w:pPr>
      <w:r>
        <w:rPr>
          <w:rFonts w:ascii="Cambria" w:eastAsia="Cambria" w:hAnsi="Cambria" w:cs="Cambria"/>
          <w:color w:val="222222"/>
          <w:highlight w:val="white"/>
        </w:rPr>
        <w:t xml:space="preserve">Terrell, S.R. (2015). Writing a proposal for your dissertation: Guidelines and examples. </w:t>
      </w:r>
    </w:p>
    <w:p w14:paraId="00000549" w14:textId="3CCDF0A5" w:rsidR="00CD3527" w:rsidRDefault="007F4AED">
      <w:pPr>
        <w:rPr>
          <w:rFonts w:ascii="Cambria" w:eastAsia="Cambria" w:hAnsi="Cambria" w:cs="Cambria"/>
        </w:rPr>
      </w:pPr>
      <w:r>
        <w:rPr>
          <w:rFonts w:ascii="Cambria" w:eastAsia="Cambria" w:hAnsi="Cambria" w:cs="Cambria"/>
          <w:color w:val="222222"/>
          <w:highlight w:val="white"/>
        </w:rPr>
        <w:tab/>
        <w:t>Guilford Press.</w:t>
      </w:r>
    </w:p>
    <w:p w14:paraId="0000054A" w14:textId="77777777" w:rsidR="00CD3527" w:rsidRDefault="00CD3527">
      <w:pPr>
        <w:rPr>
          <w:rFonts w:ascii="Cambria" w:eastAsia="Cambria" w:hAnsi="Cambria" w:cs="Cambria"/>
        </w:rPr>
      </w:pPr>
    </w:p>
    <w:p w14:paraId="0000054B" w14:textId="77777777" w:rsidR="00CD3527" w:rsidRDefault="00CD3527">
      <w:pPr>
        <w:rPr>
          <w:rFonts w:ascii="Cambria" w:eastAsia="Cambria" w:hAnsi="Cambria" w:cs="Cambria"/>
        </w:rPr>
      </w:pPr>
    </w:p>
    <w:p w14:paraId="0000054C" w14:textId="77777777" w:rsidR="00CD3527" w:rsidRDefault="00CD3527">
      <w:pPr>
        <w:rPr>
          <w:rFonts w:ascii="Cambria" w:eastAsia="Cambria" w:hAnsi="Cambria" w:cs="Cambria"/>
        </w:rPr>
      </w:pPr>
    </w:p>
    <w:p w14:paraId="0000054D" w14:textId="77777777" w:rsidR="00CD3527" w:rsidRDefault="00CD3527">
      <w:pPr>
        <w:rPr>
          <w:rFonts w:ascii="Cambria" w:eastAsia="Cambria" w:hAnsi="Cambria" w:cs="Cambria"/>
        </w:rPr>
      </w:pPr>
    </w:p>
    <w:p w14:paraId="0000054E" w14:textId="01A4C824" w:rsidR="00CD3527" w:rsidRDefault="00CD3527">
      <w:pPr>
        <w:rPr>
          <w:rFonts w:ascii="Cambria" w:eastAsia="Cambria" w:hAnsi="Cambria" w:cs="Cambria"/>
        </w:rPr>
      </w:pPr>
    </w:p>
    <w:p w14:paraId="299EBAC9" w14:textId="49708337" w:rsidR="00CC27B8" w:rsidRDefault="00CC27B8">
      <w:pPr>
        <w:rPr>
          <w:rFonts w:ascii="Cambria" w:eastAsia="Cambria" w:hAnsi="Cambria" w:cs="Cambria"/>
        </w:rPr>
      </w:pPr>
    </w:p>
    <w:p w14:paraId="7C66C448" w14:textId="0D850AE0" w:rsidR="00CC27B8" w:rsidRDefault="00CC27B8">
      <w:pPr>
        <w:rPr>
          <w:rFonts w:ascii="Cambria" w:eastAsia="Cambria" w:hAnsi="Cambria" w:cs="Cambria"/>
        </w:rPr>
      </w:pPr>
    </w:p>
    <w:p w14:paraId="43FEEBA5" w14:textId="77777777" w:rsidR="00CC27B8" w:rsidRDefault="00CC27B8">
      <w:pPr>
        <w:rPr>
          <w:rFonts w:ascii="Cambria" w:eastAsia="Cambria" w:hAnsi="Cambria" w:cs="Cambria"/>
        </w:rPr>
      </w:pPr>
    </w:p>
    <w:p w14:paraId="0000054F" w14:textId="77777777" w:rsidR="00CD3527" w:rsidRDefault="007F4AED">
      <w:pPr>
        <w:pStyle w:val="Heading2"/>
      </w:pPr>
      <w:bookmarkStart w:id="60" w:name="_heading=h.3ygebqi" w:colFirst="0" w:colLast="0"/>
      <w:bookmarkEnd w:id="60"/>
      <w:r>
        <w:lastRenderedPageBreak/>
        <w:t>Fourth Year</w:t>
      </w:r>
    </w:p>
    <w:tbl>
      <w:tblPr>
        <w:tblStyle w:val="a9"/>
        <w:tblW w:w="90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901"/>
        <w:gridCol w:w="1440"/>
        <w:gridCol w:w="2070"/>
        <w:gridCol w:w="648"/>
      </w:tblGrid>
      <w:tr w:rsidR="00CD3527" w14:paraId="6DBA2B30" w14:textId="77777777">
        <w:trPr>
          <w:trHeight w:val="540"/>
        </w:trPr>
        <w:tc>
          <w:tcPr>
            <w:tcW w:w="4901" w:type="dxa"/>
            <w:vAlign w:val="center"/>
          </w:tcPr>
          <w:p w14:paraId="00000550"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8900 Dissertation Advisement</w:t>
            </w:r>
          </w:p>
        </w:tc>
        <w:tc>
          <w:tcPr>
            <w:tcW w:w="1440" w:type="dxa"/>
            <w:vAlign w:val="center"/>
          </w:tcPr>
          <w:p w14:paraId="00000551"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Faculty</w:t>
            </w:r>
          </w:p>
        </w:tc>
        <w:tc>
          <w:tcPr>
            <w:tcW w:w="2070" w:type="dxa"/>
            <w:vAlign w:val="center"/>
          </w:tcPr>
          <w:p w14:paraId="00000552" w14:textId="77777777" w:rsidR="00CD3527" w:rsidRDefault="00CD3527">
            <w:pPr>
              <w:pBdr>
                <w:top w:val="nil"/>
                <w:left w:val="nil"/>
                <w:bottom w:val="nil"/>
                <w:right w:val="nil"/>
                <w:between w:val="nil"/>
              </w:pBdr>
              <w:rPr>
                <w:rFonts w:ascii="Cambria" w:eastAsia="Cambria" w:hAnsi="Cambria" w:cs="Cambria"/>
                <w:color w:val="000000"/>
              </w:rPr>
            </w:pPr>
          </w:p>
        </w:tc>
        <w:tc>
          <w:tcPr>
            <w:tcW w:w="648" w:type="dxa"/>
            <w:vAlign w:val="center"/>
          </w:tcPr>
          <w:p w14:paraId="00000553"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0</w:t>
            </w:r>
          </w:p>
        </w:tc>
      </w:tr>
      <w:tr w:rsidR="00CD3527" w14:paraId="1A17B2F9" w14:textId="77777777">
        <w:trPr>
          <w:trHeight w:val="540"/>
        </w:trPr>
        <w:tc>
          <w:tcPr>
            <w:tcW w:w="4901" w:type="dxa"/>
            <w:vAlign w:val="center"/>
          </w:tcPr>
          <w:p w14:paraId="00000554"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5230 Fieldwork: Externship</w:t>
            </w:r>
          </w:p>
        </w:tc>
        <w:tc>
          <w:tcPr>
            <w:tcW w:w="1440" w:type="dxa"/>
            <w:vAlign w:val="center"/>
          </w:tcPr>
          <w:p w14:paraId="00000555" w14:textId="4395CFD8" w:rsidR="00CD3527" w:rsidRDefault="00F218AA">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Verdeli</w:t>
            </w:r>
          </w:p>
        </w:tc>
        <w:tc>
          <w:tcPr>
            <w:tcW w:w="2070" w:type="dxa"/>
            <w:vAlign w:val="center"/>
          </w:tcPr>
          <w:p w14:paraId="00000556" w14:textId="77777777" w:rsidR="00CD3527" w:rsidRDefault="00CD3527">
            <w:pPr>
              <w:pBdr>
                <w:top w:val="nil"/>
                <w:left w:val="nil"/>
                <w:bottom w:val="nil"/>
                <w:right w:val="nil"/>
                <w:between w:val="nil"/>
              </w:pBdr>
              <w:rPr>
                <w:rFonts w:ascii="Cambria" w:eastAsia="Cambria" w:hAnsi="Cambria" w:cs="Cambria"/>
                <w:color w:val="000000"/>
              </w:rPr>
            </w:pPr>
          </w:p>
        </w:tc>
        <w:tc>
          <w:tcPr>
            <w:tcW w:w="648" w:type="dxa"/>
            <w:vAlign w:val="center"/>
          </w:tcPr>
          <w:p w14:paraId="00000557"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0-1</w:t>
            </w:r>
          </w:p>
        </w:tc>
      </w:tr>
      <w:tr w:rsidR="00CD3527" w14:paraId="1A39B414" w14:textId="77777777">
        <w:trPr>
          <w:trHeight w:val="540"/>
        </w:trPr>
        <w:tc>
          <w:tcPr>
            <w:tcW w:w="4901" w:type="dxa"/>
            <w:vAlign w:val="center"/>
          </w:tcPr>
          <w:p w14:paraId="00000558" w14:textId="65536C81"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CCPX 6338 Advanced Practicum </w:t>
            </w:r>
          </w:p>
        </w:tc>
        <w:tc>
          <w:tcPr>
            <w:tcW w:w="1440" w:type="dxa"/>
            <w:vAlign w:val="center"/>
          </w:tcPr>
          <w:p w14:paraId="00000559"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Rosa</w:t>
            </w:r>
          </w:p>
        </w:tc>
        <w:tc>
          <w:tcPr>
            <w:tcW w:w="2070" w:type="dxa"/>
            <w:vAlign w:val="center"/>
          </w:tcPr>
          <w:p w14:paraId="0000055A"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TBA</w:t>
            </w:r>
          </w:p>
        </w:tc>
        <w:tc>
          <w:tcPr>
            <w:tcW w:w="648" w:type="dxa"/>
            <w:vAlign w:val="center"/>
          </w:tcPr>
          <w:p w14:paraId="0000055B"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0-1</w:t>
            </w:r>
          </w:p>
        </w:tc>
      </w:tr>
    </w:tbl>
    <w:p w14:paraId="0000055C" w14:textId="77777777" w:rsidR="00CD3527" w:rsidRDefault="00CD3527">
      <w:pPr>
        <w:pBdr>
          <w:top w:val="nil"/>
          <w:left w:val="nil"/>
          <w:bottom w:val="nil"/>
          <w:right w:val="nil"/>
          <w:between w:val="nil"/>
        </w:pBdr>
        <w:rPr>
          <w:rFonts w:ascii="Cambria" w:eastAsia="Cambria" w:hAnsi="Cambria" w:cs="Cambria"/>
          <w:color w:val="000000"/>
        </w:rPr>
      </w:pPr>
    </w:p>
    <w:p w14:paraId="0000055D" w14:textId="77777777" w:rsidR="00CD3527" w:rsidRDefault="007F4AED">
      <w:pPr>
        <w:pBdr>
          <w:top w:val="nil"/>
          <w:left w:val="nil"/>
          <w:bottom w:val="nil"/>
          <w:right w:val="nil"/>
          <w:between w:val="nil"/>
        </w:pBdr>
        <w:rPr>
          <w:rFonts w:ascii="Cambria" w:eastAsia="Cambria" w:hAnsi="Cambria" w:cs="Cambria"/>
          <w:color w:val="000000"/>
          <w:u w:val="single"/>
        </w:rPr>
      </w:pPr>
      <w:r>
        <w:rPr>
          <w:rFonts w:ascii="Cambria" w:eastAsia="Cambria" w:hAnsi="Cambria" w:cs="Cambria"/>
          <w:color w:val="000000"/>
          <w:u w:val="single"/>
        </w:rPr>
        <w:t>Additional Fourth-Year Requirements and Information</w:t>
      </w:r>
    </w:p>
    <w:p w14:paraId="0000055E" w14:textId="4C76854D"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u w:val="single"/>
        </w:rPr>
        <w:br/>
        <w:t>1. Required Dissertation Advisement (CCPX 8900):</w:t>
      </w:r>
      <w:r>
        <w:rPr>
          <w:rFonts w:ascii="Cambria" w:eastAsia="Cambria" w:hAnsi="Cambria" w:cs="Cambria"/>
          <w:color w:val="000000"/>
        </w:rPr>
        <w:t xml:space="preserve">  All doctoral students must be continuously registered. Once a student has taken both semesters of Dissertation Seminar (CCPX 7500), CCPX 8900 must be registered for </w:t>
      </w:r>
      <w:r>
        <w:rPr>
          <w:rFonts w:ascii="Cambria" w:eastAsia="Cambria" w:hAnsi="Cambria" w:cs="Cambria"/>
          <w:color w:val="000000"/>
          <w:u w:val="single"/>
        </w:rPr>
        <w:t>each</w:t>
      </w:r>
      <w:r>
        <w:rPr>
          <w:rFonts w:ascii="Cambria" w:eastAsia="Cambria" w:hAnsi="Cambria" w:cs="Cambria"/>
          <w:color w:val="000000"/>
        </w:rPr>
        <w:t xml:space="preserve"> semester). Fees are approximately the cost of three credits. </w:t>
      </w:r>
      <w:r>
        <w:rPr>
          <w:rFonts w:ascii="Cambria" w:eastAsia="Cambria" w:hAnsi="Cambria" w:cs="Cambria"/>
          <w:color w:val="000000"/>
          <w:u w:val="single"/>
        </w:rPr>
        <w:t xml:space="preserve">The program's policy is that only students on </w:t>
      </w:r>
      <w:r w:rsidR="00A36337">
        <w:rPr>
          <w:rFonts w:ascii="Cambria" w:eastAsia="Cambria" w:hAnsi="Cambria" w:cs="Cambria"/>
          <w:color w:val="000000"/>
          <w:u w:val="single"/>
        </w:rPr>
        <w:t>i</w:t>
      </w:r>
      <w:r>
        <w:rPr>
          <w:rFonts w:ascii="Cambria" w:eastAsia="Cambria" w:hAnsi="Cambria" w:cs="Cambria"/>
          <w:color w:val="000000"/>
          <w:u w:val="single"/>
        </w:rPr>
        <w:t>nternship are exempt from registering for Dissertation Advisement</w:t>
      </w:r>
      <w:r>
        <w:rPr>
          <w:rFonts w:ascii="Cambria" w:eastAsia="Cambria" w:hAnsi="Cambria" w:cs="Cambria"/>
          <w:color w:val="000000"/>
        </w:rPr>
        <w:t xml:space="preserve">. </w:t>
      </w:r>
    </w:p>
    <w:p w14:paraId="0000055F" w14:textId="77777777" w:rsidR="00CD3527" w:rsidRDefault="00CD3527">
      <w:pPr>
        <w:pBdr>
          <w:top w:val="nil"/>
          <w:left w:val="nil"/>
          <w:bottom w:val="nil"/>
          <w:right w:val="nil"/>
          <w:between w:val="nil"/>
        </w:pBdr>
        <w:rPr>
          <w:rFonts w:ascii="Cambria" w:eastAsia="Cambria" w:hAnsi="Cambria" w:cs="Cambria"/>
          <w:color w:val="000000"/>
          <w:u w:val="single"/>
        </w:rPr>
      </w:pPr>
    </w:p>
    <w:p w14:paraId="00000560"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The essential task of the fourth year is to make substantial progress toward the completion of the dissertation. During this fourth year, then, students should be meeting regularly with their dissertation advisor. Students who have not already done so should be working diligently on a dissertation proposal. For specific advice and detailed instruction, read Professor Farber's "A Guide to Doing a Dissertation in Clinical Psychology at Teachers College" (available from: </w:t>
      </w:r>
      <w:r>
        <w:rPr>
          <w:rFonts w:ascii="Cambria" w:eastAsia="Cambria" w:hAnsi="Cambria" w:cs="Cambria"/>
          <w:color w:val="0000FF"/>
        </w:rPr>
        <w:t>Shulevitz@tc.edu</w:t>
      </w:r>
      <w:r>
        <w:rPr>
          <w:rFonts w:ascii="Cambria" w:eastAsia="Cambria" w:hAnsi="Cambria" w:cs="Cambria"/>
          <w:color w:val="000000"/>
        </w:rPr>
        <w:t>).</w:t>
      </w:r>
      <w:r>
        <w:rPr>
          <w:rFonts w:ascii="Cambria" w:eastAsia="Cambria" w:hAnsi="Cambria" w:cs="Cambria"/>
          <w:color w:val="000000"/>
        </w:rPr>
        <w:br/>
      </w:r>
      <w:r>
        <w:rPr>
          <w:rFonts w:ascii="Cambria" w:eastAsia="Cambria" w:hAnsi="Cambria" w:cs="Cambria"/>
          <w:color w:val="000000"/>
        </w:rPr>
        <w:br/>
      </w:r>
      <w:r>
        <w:rPr>
          <w:rFonts w:ascii="Cambria" w:eastAsia="Cambria" w:hAnsi="Cambria" w:cs="Cambria"/>
          <w:color w:val="000000"/>
          <w:u w:val="single"/>
        </w:rPr>
        <w:t>2. Recommended Advanced Practicum (CCPX 6338 or continued enrollment in ERT or IPT for 0-1 point)</w:t>
      </w:r>
      <w:r>
        <w:rPr>
          <w:rFonts w:ascii="Cambria" w:eastAsia="Cambria" w:hAnsi="Cambria" w:cs="Cambria"/>
          <w:color w:val="000000"/>
        </w:rPr>
        <w:t xml:space="preserve">: Signing up for CCPX6338 or continued enrollment in ERT or IPT provides an opportunity to continue seeing clients at CEPS. Individual as well as group supervision is provided. For CCPX 6338, student has the option of receiving specialized supervision in an area of interest or requesting to work one additional year with a previous supervisor.  </w:t>
      </w:r>
    </w:p>
    <w:p w14:paraId="00000561" w14:textId="77777777" w:rsidR="00CD3527" w:rsidRDefault="00CD3527">
      <w:pPr>
        <w:pBdr>
          <w:top w:val="nil"/>
          <w:left w:val="nil"/>
          <w:bottom w:val="nil"/>
          <w:right w:val="nil"/>
          <w:between w:val="nil"/>
        </w:pBdr>
        <w:rPr>
          <w:rFonts w:ascii="Cambria" w:eastAsia="Cambria" w:hAnsi="Cambria" w:cs="Cambria"/>
          <w:color w:val="000000"/>
        </w:rPr>
      </w:pPr>
    </w:p>
    <w:p w14:paraId="00000562"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3. If not on internship, students must be enrolled in CCPX 5230 or CCPX 8900 in order to maintain full time status.  </w:t>
      </w:r>
    </w:p>
    <w:p w14:paraId="00000563" w14:textId="77777777" w:rsidR="00CD3527" w:rsidRDefault="00CD3527">
      <w:pPr>
        <w:pBdr>
          <w:top w:val="nil"/>
          <w:left w:val="nil"/>
          <w:bottom w:val="nil"/>
          <w:right w:val="nil"/>
          <w:between w:val="nil"/>
        </w:pBdr>
        <w:tabs>
          <w:tab w:val="left" w:pos="720"/>
          <w:tab w:val="left" w:pos="980"/>
          <w:tab w:val="left" w:pos="2160"/>
          <w:tab w:val="left" w:pos="2960"/>
          <w:tab w:val="left" w:pos="3780"/>
          <w:tab w:val="left" w:pos="4320"/>
          <w:tab w:val="left" w:pos="6480"/>
          <w:tab w:val="left" w:pos="8460"/>
          <w:tab w:val="left" w:pos="8899"/>
        </w:tabs>
        <w:ind w:left="360"/>
        <w:rPr>
          <w:rFonts w:ascii="Cambria" w:eastAsia="Cambria" w:hAnsi="Cambria" w:cs="Cambria"/>
          <w:color w:val="000000"/>
        </w:rPr>
      </w:pPr>
    </w:p>
    <w:p w14:paraId="00000564"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3. Students may also continue registering for </w:t>
      </w:r>
      <w:r>
        <w:rPr>
          <w:rFonts w:ascii="Cambria" w:eastAsia="Cambria" w:hAnsi="Cambria" w:cs="Cambria"/>
          <w:color w:val="000000"/>
          <w:u w:val="single"/>
        </w:rPr>
        <w:t>Advanced Independent Study (CCPX 6900)</w:t>
      </w:r>
      <w:r>
        <w:rPr>
          <w:rFonts w:ascii="Cambria" w:eastAsia="Cambria" w:hAnsi="Cambria" w:cs="Cambria"/>
          <w:color w:val="000000"/>
        </w:rPr>
        <w:t xml:space="preserve"> each semester of their fourth year (1-3 credits) or continue taking Research Apprenticeship/Lab Courses (CCPX 5110; 0-3 credits).</w:t>
      </w:r>
    </w:p>
    <w:p w14:paraId="00000565" w14:textId="77777777" w:rsidR="00CD3527" w:rsidRDefault="00CD3527">
      <w:pPr>
        <w:pBdr>
          <w:top w:val="nil"/>
          <w:left w:val="nil"/>
          <w:bottom w:val="nil"/>
          <w:right w:val="nil"/>
          <w:between w:val="nil"/>
        </w:pBdr>
        <w:rPr>
          <w:rFonts w:ascii="Cambria" w:eastAsia="Cambria" w:hAnsi="Cambria" w:cs="Cambria"/>
          <w:color w:val="000000"/>
        </w:rPr>
      </w:pPr>
    </w:p>
    <w:p w14:paraId="00000566"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4. Students not on internship who haven't yet taken a course in </w:t>
      </w:r>
      <w:r>
        <w:rPr>
          <w:rFonts w:ascii="Cambria" w:eastAsia="Cambria" w:hAnsi="Cambria" w:cs="Cambria"/>
          <w:color w:val="000000"/>
          <w:u w:val="single"/>
        </w:rPr>
        <w:t>Detection of Child Abuse</w:t>
      </w:r>
      <w:r>
        <w:rPr>
          <w:rFonts w:ascii="Cambria" w:eastAsia="Cambria" w:hAnsi="Cambria" w:cs="Cambria"/>
          <w:color w:val="000000"/>
        </w:rPr>
        <w:t xml:space="preserve"> should do so this year (see p. 39).</w:t>
      </w:r>
    </w:p>
    <w:p w14:paraId="00000567" w14:textId="77777777" w:rsidR="00CD3527" w:rsidRDefault="00CD3527">
      <w:pPr>
        <w:pBdr>
          <w:top w:val="nil"/>
          <w:left w:val="nil"/>
          <w:bottom w:val="nil"/>
          <w:right w:val="nil"/>
          <w:between w:val="nil"/>
        </w:pBdr>
        <w:rPr>
          <w:rFonts w:ascii="Cambria" w:eastAsia="Cambria" w:hAnsi="Cambria" w:cs="Cambria"/>
          <w:color w:val="000000"/>
        </w:rPr>
      </w:pPr>
    </w:p>
    <w:p w14:paraId="00000569" w14:textId="160B96BC" w:rsidR="00CD3527" w:rsidRDefault="00CD3527">
      <w:pPr>
        <w:pStyle w:val="Heading2"/>
      </w:pPr>
      <w:bookmarkStart w:id="61" w:name="_heading=h.bcjkkrjyq3o3" w:colFirst="0" w:colLast="0"/>
      <w:bookmarkStart w:id="62" w:name="_heading=h.4n6g2kjcva5t" w:colFirst="0" w:colLast="0"/>
      <w:bookmarkEnd w:id="61"/>
      <w:bookmarkEnd w:id="62"/>
    </w:p>
    <w:p w14:paraId="55A27513" w14:textId="77777777" w:rsidR="00F92967" w:rsidRPr="00F92967" w:rsidRDefault="00F92967" w:rsidP="00F92967"/>
    <w:p w14:paraId="0000056A" w14:textId="77777777" w:rsidR="00CD3527" w:rsidRDefault="007F4AED">
      <w:pPr>
        <w:pStyle w:val="Heading2"/>
        <w:rPr>
          <w:u w:val="single"/>
        </w:rPr>
      </w:pPr>
      <w:bookmarkStart w:id="63" w:name="_heading=h.2dlolyb" w:colFirst="0" w:colLast="0"/>
      <w:bookmarkEnd w:id="63"/>
      <w:r>
        <w:lastRenderedPageBreak/>
        <w:t>Fifth/Sixth Year (Internship)</w:t>
      </w:r>
    </w:p>
    <w:p w14:paraId="0000056B" w14:textId="77777777" w:rsidR="00CD3527" w:rsidRDefault="00CD3527">
      <w:pPr>
        <w:pBdr>
          <w:top w:val="nil"/>
          <w:left w:val="nil"/>
          <w:bottom w:val="nil"/>
          <w:right w:val="nil"/>
          <w:between w:val="nil"/>
        </w:pBdr>
        <w:rPr>
          <w:rFonts w:ascii="Cambria" w:eastAsia="Cambria" w:hAnsi="Cambria" w:cs="Cambria"/>
          <w:color w:val="000000"/>
        </w:rPr>
      </w:pPr>
    </w:p>
    <w:tbl>
      <w:tblPr>
        <w:tblStyle w:val="aa"/>
        <w:tblW w:w="90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901"/>
        <w:gridCol w:w="1440"/>
        <w:gridCol w:w="2070"/>
        <w:gridCol w:w="648"/>
      </w:tblGrid>
      <w:tr w:rsidR="00CD3527" w14:paraId="32BE30E4" w14:textId="77777777">
        <w:trPr>
          <w:trHeight w:val="540"/>
        </w:trPr>
        <w:tc>
          <w:tcPr>
            <w:tcW w:w="4901" w:type="dxa"/>
            <w:vAlign w:val="center"/>
          </w:tcPr>
          <w:p w14:paraId="0000056C"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CCPX 6430. Internship in Clinical Psychology (you must sign up for this for every semester you are at internship)</w:t>
            </w:r>
          </w:p>
        </w:tc>
        <w:tc>
          <w:tcPr>
            <w:tcW w:w="1440" w:type="dxa"/>
            <w:vAlign w:val="center"/>
          </w:tcPr>
          <w:p w14:paraId="0000056D" w14:textId="77777777" w:rsidR="00CD3527" w:rsidRDefault="00CD3527">
            <w:pPr>
              <w:pBdr>
                <w:top w:val="nil"/>
                <w:left w:val="nil"/>
                <w:bottom w:val="nil"/>
                <w:right w:val="nil"/>
                <w:between w:val="nil"/>
              </w:pBdr>
              <w:rPr>
                <w:rFonts w:ascii="Cambria" w:eastAsia="Cambria" w:hAnsi="Cambria" w:cs="Cambria"/>
                <w:color w:val="000000"/>
              </w:rPr>
            </w:pPr>
          </w:p>
        </w:tc>
        <w:tc>
          <w:tcPr>
            <w:tcW w:w="2070" w:type="dxa"/>
            <w:vAlign w:val="center"/>
          </w:tcPr>
          <w:p w14:paraId="0000056E" w14:textId="77777777" w:rsidR="00CD3527" w:rsidRDefault="00CD3527">
            <w:pPr>
              <w:pBdr>
                <w:top w:val="nil"/>
                <w:left w:val="nil"/>
                <w:bottom w:val="nil"/>
                <w:right w:val="nil"/>
                <w:between w:val="nil"/>
              </w:pBdr>
              <w:rPr>
                <w:rFonts w:ascii="Cambria" w:eastAsia="Cambria" w:hAnsi="Cambria" w:cs="Cambria"/>
                <w:color w:val="000000"/>
              </w:rPr>
            </w:pPr>
          </w:p>
        </w:tc>
        <w:tc>
          <w:tcPr>
            <w:tcW w:w="648" w:type="dxa"/>
            <w:vAlign w:val="center"/>
          </w:tcPr>
          <w:p w14:paraId="0000056F"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0</w:t>
            </w:r>
          </w:p>
        </w:tc>
      </w:tr>
    </w:tbl>
    <w:p w14:paraId="00000570" w14:textId="77777777" w:rsidR="00CD3527" w:rsidRDefault="00CD3527">
      <w:pPr>
        <w:pBdr>
          <w:top w:val="nil"/>
          <w:left w:val="nil"/>
          <w:bottom w:val="nil"/>
          <w:right w:val="nil"/>
          <w:between w:val="nil"/>
        </w:pBdr>
        <w:rPr>
          <w:rFonts w:ascii="Cambria" w:eastAsia="Cambria" w:hAnsi="Cambria" w:cs="Cambria"/>
          <w:color w:val="000000"/>
        </w:rPr>
      </w:pPr>
    </w:p>
    <w:p w14:paraId="00000571" w14:textId="5896B799"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The internship is a full-time paid clinical traineeship in an approved agency, usually taken during the fifth or sixth year </w:t>
      </w:r>
      <w:r>
        <w:rPr>
          <w:rFonts w:ascii="Cambria" w:eastAsia="Cambria" w:hAnsi="Cambria" w:cs="Cambria"/>
          <w:b/>
          <w:i/>
          <w:color w:val="000000"/>
        </w:rPr>
        <w:t>but is not required to be taken these years (further, the dissertation can be completed before, during, or after internship, see below)</w:t>
      </w:r>
      <w:r>
        <w:rPr>
          <w:rFonts w:ascii="Cambria" w:eastAsia="Cambria" w:hAnsi="Cambria" w:cs="Cambria"/>
          <w:color w:val="000000"/>
        </w:rPr>
        <w:t>.  By this point, you should already have an account in Time2Track (covered by the program) and should be logging hours.  A 10 min</w:t>
      </w:r>
      <w:r w:rsidR="002C2BB9">
        <w:rPr>
          <w:rFonts w:ascii="Cambria" w:eastAsia="Cambria" w:hAnsi="Cambria" w:cs="Cambria"/>
          <w:color w:val="000000"/>
        </w:rPr>
        <w:t>ute</w:t>
      </w:r>
      <w:r>
        <w:rPr>
          <w:rFonts w:ascii="Cambria" w:eastAsia="Cambria" w:hAnsi="Cambria" w:cs="Cambria"/>
          <w:color w:val="000000"/>
        </w:rPr>
        <w:t xml:space="preserve"> tutorial video can be found in the Time2Track </w:t>
      </w:r>
      <w:hyperlink r:id="rId73">
        <w:r>
          <w:rPr>
            <w:rFonts w:ascii="Cambria" w:eastAsia="Cambria" w:hAnsi="Cambria" w:cs="Cambria"/>
            <w:color w:val="0000FF"/>
            <w:u w:val="single"/>
          </w:rPr>
          <w:t>Quick start guide</w:t>
        </w:r>
      </w:hyperlink>
      <w:r>
        <w:rPr>
          <w:rFonts w:ascii="Cambria" w:eastAsia="Cambria" w:hAnsi="Cambria" w:cs="Cambria"/>
          <w:color w:val="000000"/>
        </w:rPr>
        <w:t> of our </w:t>
      </w:r>
      <w:hyperlink r:id="rId74">
        <w:r>
          <w:rPr>
            <w:rFonts w:ascii="Cambria" w:eastAsia="Cambria" w:hAnsi="Cambria" w:cs="Cambria"/>
            <w:color w:val="0000FF"/>
            <w:u w:val="single"/>
          </w:rPr>
          <w:t>Help center</w:t>
        </w:r>
      </w:hyperlink>
      <w:r>
        <w:rPr>
          <w:rFonts w:ascii="Cambria" w:eastAsia="Cambria" w:hAnsi="Cambria" w:cs="Cambria"/>
          <w:color w:val="000000"/>
        </w:rPr>
        <w:t xml:space="preserve">, which also has other helpful information. In addition, you will need to register at APPIC for the application.  </w:t>
      </w:r>
      <w:r>
        <w:rPr>
          <w:rFonts w:ascii="Cambria" w:eastAsia="Cambria" w:hAnsi="Cambria" w:cs="Cambria"/>
          <w:b/>
          <w:i/>
          <w:color w:val="000000"/>
        </w:rPr>
        <w:t>You will also need to sign up for the match but should not do so until the DCT approves your hours through Time2Track</w:t>
      </w:r>
      <w:r>
        <w:rPr>
          <w:rFonts w:ascii="Cambria" w:eastAsia="Cambria" w:hAnsi="Cambria" w:cs="Cambria"/>
          <w:color w:val="000000"/>
        </w:rPr>
        <w:t xml:space="preserve">. Further internship information is available online: </w:t>
      </w:r>
      <w:hyperlink r:id="rId75">
        <w:r>
          <w:rPr>
            <w:rFonts w:ascii="Cambria" w:eastAsia="Cambria" w:hAnsi="Cambria" w:cs="Cambria"/>
            <w:color w:val="0000FF"/>
            <w:u w:val="single"/>
          </w:rPr>
          <w:t>www.appic.org</w:t>
        </w:r>
      </w:hyperlink>
      <w:r>
        <w:rPr>
          <w:rFonts w:ascii="Cambria" w:eastAsia="Cambria" w:hAnsi="Cambria" w:cs="Cambria"/>
          <w:color w:val="000000"/>
        </w:rPr>
        <w:t xml:space="preserve"> including step by step instructions for the AAPI (application) and signing up for the match: </w:t>
      </w:r>
      <w:hyperlink r:id="rId76">
        <w:r>
          <w:rPr>
            <w:rFonts w:ascii="Cambria" w:eastAsia="Cambria" w:hAnsi="Cambria" w:cs="Cambria"/>
            <w:color w:val="0000FF"/>
            <w:u w:val="single"/>
          </w:rPr>
          <w:t>https://www.appic.org/Internships/Internship-Application-AAPI-Portals/AAPI-For-Applicants/AAPI-Step-by-Step</w:t>
        </w:r>
      </w:hyperlink>
      <w:r>
        <w:rPr>
          <w:rFonts w:ascii="Cambria" w:eastAsia="Cambria" w:hAnsi="Cambria" w:cs="Cambria"/>
          <w:color w:val="000000"/>
        </w:rPr>
        <w:t xml:space="preserve">. </w:t>
      </w:r>
    </w:p>
    <w:p w14:paraId="00000572" w14:textId="77777777" w:rsidR="00CD3527" w:rsidRDefault="00CD3527">
      <w:pPr>
        <w:pBdr>
          <w:top w:val="nil"/>
          <w:left w:val="nil"/>
          <w:bottom w:val="nil"/>
          <w:right w:val="nil"/>
          <w:between w:val="nil"/>
        </w:pBdr>
        <w:rPr>
          <w:rFonts w:ascii="Cambria" w:eastAsia="Cambria" w:hAnsi="Cambria" w:cs="Cambria"/>
          <w:color w:val="000000"/>
        </w:rPr>
      </w:pPr>
    </w:p>
    <w:p w14:paraId="00000573"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Students must register for Internship (CCPX 6430, 0 points) for every semester they are at internship including summer terms if they overlap with the time they are at internship. </w:t>
      </w:r>
      <w:r>
        <w:rPr>
          <w:rFonts w:ascii="Cambria" w:eastAsia="Cambria" w:hAnsi="Cambria" w:cs="Cambria"/>
          <w:strike/>
          <w:color w:val="000000"/>
        </w:rPr>
        <w:t>Summer registration for internship is not required.</w:t>
      </w:r>
      <w:r>
        <w:rPr>
          <w:rFonts w:ascii="Cambria" w:eastAsia="Cambria" w:hAnsi="Cambria" w:cs="Cambria"/>
          <w:color w:val="000000"/>
        </w:rPr>
        <w:t xml:space="preserve">  If your internship ends at the end of June, you should take the Summer A course (CCPX 6430.002). If your internship ends at the end of July or August, you should take the full-Summer term version (CCPX 6430.001, this includes both Summer A and B).</w:t>
      </w:r>
    </w:p>
    <w:p w14:paraId="00000574" w14:textId="77777777" w:rsidR="00CD3527" w:rsidRDefault="00CD3527">
      <w:pPr>
        <w:pBdr>
          <w:top w:val="nil"/>
          <w:left w:val="nil"/>
          <w:bottom w:val="nil"/>
          <w:right w:val="nil"/>
          <w:between w:val="nil"/>
        </w:pBdr>
        <w:rPr>
          <w:rFonts w:ascii="Cambria" w:eastAsia="Cambria" w:hAnsi="Cambria" w:cs="Cambria"/>
          <w:color w:val="000000"/>
        </w:rPr>
      </w:pPr>
    </w:p>
    <w:p w14:paraId="00000575"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Please inform ODS of your internship completion date or expected completion date if it hasn’t started yet. If you are on internship, please do not forget to also register for your internship course in addition to TI8900 (but you do not need to enroll in CCPX 8900 during internship). </w:t>
      </w:r>
    </w:p>
    <w:p w14:paraId="00000576" w14:textId="77777777" w:rsidR="00CD3527" w:rsidRDefault="00CD3527">
      <w:pPr>
        <w:pBdr>
          <w:top w:val="nil"/>
          <w:left w:val="nil"/>
          <w:bottom w:val="nil"/>
          <w:right w:val="nil"/>
          <w:between w:val="nil"/>
        </w:pBdr>
        <w:rPr>
          <w:rFonts w:ascii="Cambria" w:eastAsia="Cambria" w:hAnsi="Cambria" w:cs="Cambria"/>
          <w:color w:val="000000"/>
        </w:rPr>
      </w:pPr>
    </w:p>
    <w:p w14:paraId="00000577"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An application for internship will only be approved if the student has fulfilled the following requirements (in addition to those listed earlier for externship placement):</w:t>
      </w:r>
    </w:p>
    <w:p w14:paraId="00000578" w14:textId="77777777" w:rsidR="00CD3527" w:rsidRDefault="007F4AED">
      <w:pPr>
        <w:numPr>
          <w:ilvl w:val="0"/>
          <w:numId w:val="36"/>
        </w:num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no current incompletes;</w:t>
      </w:r>
    </w:p>
    <w:p w14:paraId="00000579" w14:textId="77777777" w:rsidR="00CD3527" w:rsidRDefault="007F4AED">
      <w:pPr>
        <w:numPr>
          <w:ilvl w:val="0"/>
          <w:numId w:val="36"/>
        </w:numPr>
        <w:pBdr>
          <w:top w:val="nil"/>
          <w:left w:val="nil"/>
          <w:bottom w:val="nil"/>
          <w:right w:val="nil"/>
          <w:between w:val="nil"/>
        </w:pBdr>
        <w:rPr>
          <w:rFonts w:ascii="Cambria" w:eastAsia="Cambria" w:hAnsi="Cambria" w:cs="Cambria"/>
          <w:strike/>
          <w:color w:val="000000"/>
        </w:rPr>
      </w:pPr>
      <w:r>
        <w:rPr>
          <w:rFonts w:ascii="Cambria" w:eastAsia="Cambria" w:hAnsi="Cambria" w:cs="Cambria"/>
          <w:strike/>
          <w:color w:val="000000"/>
        </w:rPr>
        <w:t>worksheet in student folder is up to date;</w:t>
      </w:r>
    </w:p>
    <w:p w14:paraId="0000057A" w14:textId="65E82C20" w:rsidR="00CD3527" w:rsidRDefault="007F4AED">
      <w:pPr>
        <w:numPr>
          <w:ilvl w:val="0"/>
          <w:numId w:val="36"/>
        </w:num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 xml:space="preserve">Practicum and externship supervisory evaluations are in </w:t>
      </w:r>
      <w:r w:rsidR="002C2BB9">
        <w:rPr>
          <w:rFonts w:ascii="Cambria" w:eastAsia="Cambria" w:hAnsi="Cambria" w:cs="Cambria"/>
          <w:b/>
          <w:color w:val="000000"/>
        </w:rPr>
        <w:t>e-</w:t>
      </w:r>
      <w:r>
        <w:rPr>
          <w:rFonts w:ascii="Cambria" w:eastAsia="Cambria" w:hAnsi="Cambria" w:cs="Cambria"/>
          <w:b/>
          <w:color w:val="000000"/>
        </w:rPr>
        <w:t>folder;</w:t>
      </w:r>
    </w:p>
    <w:p w14:paraId="0000057B" w14:textId="77777777" w:rsidR="00CD3527" w:rsidRDefault="007F4AED">
      <w:pPr>
        <w:numPr>
          <w:ilvl w:val="0"/>
          <w:numId w:val="36"/>
        </w:num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Second-Year Project has been completed, approved by sponsor, and submitted to the program via email to Rebecca Shulevitz;</w:t>
      </w:r>
    </w:p>
    <w:p w14:paraId="0000057C" w14:textId="77777777" w:rsidR="00CD3527" w:rsidRDefault="007F4AED">
      <w:pPr>
        <w:numPr>
          <w:ilvl w:val="0"/>
          <w:numId w:val="36"/>
        </w:num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 xml:space="preserve">Case presented at Case Conference; </w:t>
      </w:r>
    </w:p>
    <w:p w14:paraId="0000057D" w14:textId="77777777" w:rsidR="00CD3527" w:rsidRDefault="007F4AED">
      <w:pPr>
        <w:numPr>
          <w:ilvl w:val="0"/>
          <w:numId w:val="36"/>
        </w:num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 xml:space="preserve">Research presented at a Colloquium </w:t>
      </w:r>
      <w:r>
        <w:rPr>
          <w:rFonts w:ascii="Cambria" w:eastAsia="Cambria" w:hAnsi="Cambria" w:cs="Cambria"/>
          <w:color w:val="000000"/>
        </w:rPr>
        <w:t>(Starting the 2023-2024 academic year, this presentation will count as the CERT exam and require program approval)</w:t>
      </w:r>
      <w:r>
        <w:rPr>
          <w:rFonts w:ascii="Cambria" w:eastAsia="Cambria" w:hAnsi="Cambria" w:cs="Cambria"/>
          <w:b/>
          <w:color w:val="000000"/>
        </w:rPr>
        <w:t>;</w:t>
      </w:r>
    </w:p>
    <w:p w14:paraId="0000057E" w14:textId="77777777" w:rsidR="00CD3527" w:rsidRDefault="007F4AED">
      <w:pPr>
        <w:numPr>
          <w:ilvl w:val="0"/>
          <w:numId w:val="36"/>
        </w:num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All requirements (e.g., paperwork) of the Dean-Hope Center completed;</w:t>
      </w:r>
    </w:p>
    <w:p w14:paraId="0000057F" w14:textId="4D092919" w:rsidR="00CD3527" w:rsidRDefault="007F4AED">
      <w:pPr>
        <w:numPr>
          <w:ilvl w:val="0"/>
          <w:numId w:val="36"/>
        </w:num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Proposal Hearing has been held</w:t>
      </w:r>
      <w:r w:rsidR="002C2BB9">
        <w:rPr>
          <w:rFonts w:ascii="Cambria" w:eastAsia="Cambria" w:hAnsi="Cambria" w:cs="Cambria"/>
          <w:b/>
          <w:color w:val="000000"/>
        </w:rPr>
        <w:t xml:space="preserve"> and </w:t>
      </w:r>
      <w:r>
        <w:rPr>
          <w:rFonts w:ascii="Cambria" w:eastAsia="Cambria" w:hAnsi="Cambria" w:cs="Cambria"/>
          <w:b/>
          <w:color w:val="000000"/>
        </w:rPr>
        <w:t>approved</w:t>
      </w:r>
      <w:r w:rsidR="002C2BB9">
        <w:rPr>
          <w:rFonts w:ascii="Cambria" w:eastAsia="Cambria" w:hAnsi="Cambria" w:cs="Cambria"/>
          <w:b/>
          <w:color w:val="000000"/>
        </w:rPr>
        <w:t>.</w:t>
      </w:r>
      <w:r>
        <w:rPr>
          <w:rFonts w:ascii="Cambria" w:eastAsia="Cambria" w:hAnsi="Cambria" w:cs="Cambria"/>
          <w:color w:val="000000"/>
        </w:rPr>
        <w:t>(Exceptions will be made for proposal hearings that are scheduled or actively being scheduled, pending advisor and program approval)</w:t>
      </w:r>
      <w:r>
        <w:rPr>
          <w:rFonts w:ascii="Cambria" w:eastAsia="Cambria" w:hAnsi="Cambria" w:cs="Cambria"/>
          <w:b/>
          <w:color w:val="000000"/>
        </w:rPr>
        <w:t>;</w:t>
      </w:r>
    </w:p>
    <w:p w14:paraId="00000580" w14:textId="77777777" w:rsidR="00CD3527" w:rsidRDefault="007F4AED">
      <w:pPr>
        <w:numPr>
          <w:ilvl w:val="0"/>
          <w:numId w:val="36"/>
        </w:num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lastRenderedPageBreak/>
        <w:t xml:space="preserve">Advisor approves of student’s application; </w:t>
      </w:r>
    </w:p>
    <w:p w14:paraId="00000581" w14:textId="77777777" w:rsidR="00CD3527" w:rsidRDefault="007F4AED">
      <w:pPr>
        <w:numPr>
          <w:ilvl w:val="0"/>
          <w:numId w:val="36"/>
        </w:num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 xml:space="preserve">You have submitted the online </w:t>
      </w:r>
      <w:r>
        <w:rPr>
          <w:rFonts w:ascii="Cambria" w:eastAsia="Cambria" w:hAnsi="Cambria" w:cs="Cambria"/>
          <w:b/>
          <w:color w:val="000000"/>
          <w:u w:val="single"/>
        </w:rPr>
        <w:t>Internship Readiness Form by October 1, 2023;</w:t>
      </w:r>
    </w:p>
    <w:p w14:paraId="00000582" w14:textId="737A7FA4" w:rsidR="00CD3527" w:rsidRDefault="007F4AED">
      <w:pPr>
        <w:numPr>
          <w:ilvl w:val="0"/>
          <w:numId w:val="36"/>
        </w:num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 xml:space="preserve">You have received an explicit “approval” email from the DCT (Dr. </w:t>
      </w:r>
      <w:r w:rsidR="009E0221">
        <w:rPr>
          <w:rFonts w:ascii="Cambria" w:eastAsia="Cambria" w:hAnsi="Cambria" w:cs="Cambria"/>
          <w:b/>
          <w:color w:val="000000"/>
        </w:rPr>
        <w:t>Farber or Verdeli</w:t>
      </w:r>
      <w:r>
        <w:rPr>
          <w:rFonts w:ascii="Cambria" w:eastAsia="Cambria" w:hAnsi="Cambria" w:cs="Cambria"/>
          <w:b/>
          <w:color w:val="000000"/>
        </w:rPr>
        <w:t>) and Internship Coordinator (Dr. Cha) prior to application submission</w:t>
      </w:r>
    </w:p>
    <w:p w14:paraId="00000583" w14:textId="77777777" w:rsidR="00CD3527" w:rsidRDefault="00CD3527">
      <w:pPr>
        <w:pBdr>
          <w:top w:val="nil"/>
          <w:left w:val="nil"/>
          <w:bottom w:val="nil"/>
          <w:right w:val="nil"/>
          <w:between w:val="nil"/>
        </w:pBdr>
        <w:rPr>
          <w:rFonts w:ascii="Cambria" w:eastAsia="Cambria" w:hAnsi="Cambria" w:cs="Cambria"/>
          <w:color w:val="000000"/>
        </w:rPr>
      </w:pPr>
    </w:p>
    <w:p w14:paraId="00000584" w14:textId="67602ABB"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In particular, note that students </w:t>
      </w:r>
      <w:r>
        <w:rPr>
          <w:rFonts w:ascii="Cambria" w:eastAsia="Cambria" w:hAnsi="Cambria" w:cs="Cambria"/>
          <w:color w:val="000000"/>
          <w:u w:val="single"/>
        </w:rPr>
        <w:t xml:space="preserve">may not apply for </w:t>
      </w:r>
      <w:r w:rsidR="00BF4E19">
        <w:rPr>
          <w:rFonts w:ascii="Cambria" w:eastAsia="Cambria" w:hAnsi="Cambria" w:cs="Cambria"/>
          <w:color w:val="000000"/>
          <w:u w:val="single"/>
        </w:rPr>
        <w:t>i</w:t>
      </w:r>
      <w:r>
        <w:rPr>
          <w:rFonts w:ascii="Cambria" w:eastAsia="Cambria" w:hAnsi="Cambria" w:cs="Cambria"/>
          <w:color w:val="000000"/>
          <w:u w:val="single"/>
        </w:rPr>
        <w:t>nternship nor enter the APPIC Match until they have had a successful Proposal Hearing</w:t>
      </w:r>
      <w:r>
        <w:rPr>
          <w:rFonts w:ascii="Cambria" w:eastAsia="Cambria" w:hAnsi="Cambria" w:cs="Cambria"/>
          <w:color w:val="000000"/>
        </w:rPr>
        <w:t xml:space="preserve">. Once you have been approved for readiness to apply for internship, you can submit your hours to the DCT (Dr. </w:t>
      </w:r>
      <w:r w:rsidR="009E0221">
        <w:rPr>
          <w:rFonts w:ascii="Cambria" w:eastAsia="Cambria" w:hAnsi="Cambria" w:cs="Cambria"/>
          <w:color w:val="000000"/>
        </w:rPr>
        <w:t>Farber or Verdeli</w:t>
      </w:r>
      <w:r>
        <w:rPr>
          <w:rFonts w:ascii="Cambria" w:eastAsia="Cambria" w:hAnsi="Cambria" w:cs="Cambria"/>
          <w:color w:val="000000"/>
        </w:rPr>
        <w:t xml:space="preserve">) via the Time2Track app. </w:t>
      </w:r>
    </w:p>
    <w:p w14:paraId="00000585" w14:textId="77777777" w:rsidR="00CD3527" w:rsidRDefault="00CD3527">
      <w:pPr>
        <w:pBdr>
          <w:top w:val="nil"/>
          <w:left w:val="nil"/>
          <w:bottom w:val="nil"/>
          <w:right w:val="nil"/>
          <w:between w:val="nil"/>
        </w:pBdr>
        <w:rPr>
          <w:rFonts w:ascii="Cambria" w:eastAsia="Cambria" w:hAnsi="Cambria" w:cs="Cambria"/>
          <w:color w:val="000000"/>
        </w:rPr>
      </w:pPr>
    </w:p>
    <w:p w14:paraId="00000586"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In general, </w:t>
      </w:r>
      <w:r>
        <w:rPr>
          <w:rFonts w:ascii="Cambria" w:eastAsia="Cambria" w:hAnsi="Cambria" w:cs="Cambria"/>
          <w:color w:val="000000"/>
          <w:u w:val="single"/>
        </w:rPr>
        <w:t>it is unwise to take an internship before substantial work on the dissertation has been accomplished</w:t>
      </w:r>
      <w:r>
        <w:rPr>
          <w:rFonts w:ascii="Cambria" w:eastAsia="Cambria" w:hAnsi="Cambria" w:cs="Cambria"/>
          <w:color w:val="000000"/>
        </w:rPr>
        <w:t xml:space="preserve">. It substantially increases the possibility of your being a long-term ABD and, therefore, of being terminated from the Program. </w:t>
      </w:r>
    </w:p>
    <w:p w14:paraId="00000587" w14:textId="77777777" w:rsidR="00CD3527" w:rsidRDefault="00CD3527">
      <w:pPr>
        <w:pBdr>
          <w:top w:val="nil"/>
          <w:left w:val="nil"/>
          <w:bottom w:val="nil"/>
          <w:right w:val="nil"/>
          <w:between w:val="nil"/>
        </w:pBdr>
        <w:rPr>
          <w:rFonts w:ascii="Cambria" w:eastAsia="Cambria" w:hAnsi="Cambria" w:cs="Cambria"/>
          <w:color w:val="000000"/>
        </w:rPr>
      </w:pPr>
    </w:p>
    <w:p w14:paraId="00000588"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Unless there are very compelling reasons to do otherwise, </w:t>
      </w:r>
      <w:r>
        <w:rPr>
          <w:rFonts w:ascii="Cambria" w:eastAsia="Cambria" w:hAnsi="Cambria" w:cs="Cambria"/>
          <w:b/>
          <w:color w:val="000000"/>
        </w:rPr>
        <w:t>students are expected to submit their applications for internship through APPIC and apply to APA-accredited internship programs</w:t>
      </w:r>
      <w:r>
        <w:rPr>
          <w:rFonts w:ascii="Cambria" w:eastAsia="Cambria" w:hAnsi="Cambria" w:cs="Cambria"/>
          <w:color w:val="000000"/>
        </w:rPr>
        <w:t>. Any exceptions require discussions with and approval from the student’s sponsor, DCT, and program faculty overseeing internship prior to application submission.</w:t>
      </w:r>
    </w:p>
    <w:p w14:paraId="00000589" w14:textId="77777777" w:rsidR="00CD3527" w:rsidRDefault="00CD3527">
      <w:pPr>
        <w:pBdr>
          <w:top w:val="nil"/>
          <w:left w:val="nil"/>
          <w:bottom w:val="nil"/>
          <w:right w:val="nil"/>
          <w:between w:val="nil"/>
        </w:pBdr>
        <w:rPr>
          <w:rFonts w:ascii="Cambria" w:eastAsia="Cambria" w:hAnsi="Cambria" w:cs="Cambria"/>
          <w:color w:val="000000"/>
        </w:rPr>
      </w:pPr>
    </w:p>
    <w:p w14:paraId="0000058A"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Occasionally, circumstances make it necessary for a student to do the internship on a part-time basis over a period of two years. This is difficult to arrange, although at least some internship agencies are beginning to become more flexible in their arrangements. Such an exception requires discussions with and approval from the student’s sponsor, DCT, and program faculty overseeing internship prior to application submission.</w:t>
      </w:r>
    </w:p>
    <w:p w14:paraId="0000058B" w14:textId="77777777" w:rsidR="00CD3527" w:rsidRDefault="00CD3527">
      <w:pPr>
        <w:pStyle w:val="Heading1"/>
      </w:pPr>
    </w:p>
    <w:p w14:paraId="0000058C" w14:textId="77777777" w:rsidR="00CD3527" w:rsidRDefault="007F4AED">
      <w:pPr>
        <w:rPr>
          <w:rFonts w:ascii="Cambria" w:eastAsia="Cambria" w:hAnsi="Cambria" w:cs="Cambria"/>
          <w:b/>
          <w:sz w:val="32"/>
          <w:szCs w:val="32"/>
        </w:rPr>
      </w:pPr>
      <w:r>
        <w:br w:type="page"/>
      </w:r>
      <w:r>
        <w:rPr>
          <w:rFonts w:ascii="Cambria" w:eastAsia="Cambria" w:hAnsi="Cambria" w:cs="Cambria"/>
          <w:b/>
          <w:sz w:val="32"/>
          <w:szCs w:val="32"/>
        </w:rPr>
        <w:lastRenderedPageBreak/>
        <w:t>Dissertation Checklist (for Ph.D. students in Psychology)</w:t>
      </w:r>
    </w:p>
    <w:p w14:paraId="0000058D" w14:textId="77777777" w:rsidR="00CD3527" w:rsidRDefault="00CD3527">
      <w:pPr>
        <w:rPr>
          <w:rFonts w:ascii="Cambria" w:eastAsia="Cambria" w:hAnsi="Cambria" w:cs="Cambria"/>
          <w:b/>
          <w:sz w:val="32"/>
          <w:szCs w:val="32"/>
        </w:rPr>
      </w:pPr>
    </w:p>
    <w:p w14:paraId="0000058E" w14:textId="77777777" w:rsidR="00CD3527" w:rsidRPr="00B3065A" w:rsidRDefault="007F4AED">
      <w:pPr>
        <w:rPr>
          <w:rFonts w:asciiTheme="minorHAnsi" w:eastAsia="Cambria" w:hAnsiTheme="minorHAnsi" w:cs="Cambria"/>
          <w:i/>
        </w:rPr>
      </w:pPr>
      <w:r w:rsidRPr="00B3065A">
        <w:rPr>
          <w:rFonts w:asciiTheme="minorHAnsi" w:eastAsia="Cambria" w:hAnsiTheme="minorHAnsi" w:cs="Cambria"/>
          <w:i/>
        </w:rPr>
        <w:t xml:space="preserve">Throughout this process, if you need help or have any questions about anything, please reach out to Russ Gulizia at </w:t>
      </w:r>
      <w:hyperlink r:id="rId77">
        <w:r w:rsidRPr="00B3065A">
          <w:rPr>
            <w:rFonts w:asciiTheme="minorHAnsi" w:eastAsia="Cambria" w:hAnsiTheme="minorHAnsi" w:cs="Cambria"/>
            <w:i/>
            <w:color w:val="0000FF"/>
            <w:u w:val="single"/>
          </w:rPr>
          <w:t>gulizia@tc.columbia.edu</w:t>
        </w:r>
      </w:hyperlink>
      <w:r w:rsidRPr="00B3065A">
        <w:rPr>
          <w:rFonts w:asciiTheme="minorHAnsi" w:eastAsia="Cambria" w:hAnsiTheme="minorHAnsi" w:cs="Cambria"/>
          <w:i/>
        </w:rPr>
        <w:t xml:space="preserve"> or Noemi Garibay at </w:t>
      </w:r>
      <w:hyperlink r:id="rId78">
        <w:r w:rsidRPr="00B3065A">
          <w:rPr>
            <w:rFonts w:asciiTheme="minorHAnsi" w:eastAsia="Cambria" w:hAnsiTheme="minorHAnsi" w:cs="Cambria"/>
            <w:i/>
            <w:color w:val="0000FF"/>
            <w:u w:val="single"/>
          </w:rPr>
          <w:t>ng2833@tc.columbia.edu</w:t>
        </w:r>
      </w:hyperlink>
      <w:r w:rsidRPr="00B3065A">
        <w:rPr>
          <w:rFonts w:asciiTheme="minorHAnsi" w:eastAsia="Cambria" w:hAnsiTheme="minorHAnsi" w:cs="Cambria"/>
          <w:i/>
        </w:rPr>
        <w:t xml:space="preserve"> from the ODS Office.</w:t>
      </w:r>
    </w:p>
    <w:p w14:paraId="0000058F" w14:textId="77777777" w:rsidR="00CD3527" w:rsidRPr="00B3065A" w:rsidRDefault="00CD3527">
      <w:pPr>
        <w:rPr>
          <w:rFonts w:asciiTheme="minorHAnsi" w:eastAsia="Cambria" w:hAnsiTheme="minorHAnsi" w:cs="Cambria"/>
        </w:rPr>
      </w:pPr>
    </w:p>
    <w:p w14:paraId="00000590" w14:textId="77777777" w:rsidR="00CD3527" w:rsidRPr="00B3065A" w:rsidRDefault="007F4AED">
      <w:pPr>
        <w:numPr>
          <w:ilvl w:val="0"/>
          <w:numId w:val="54"/>
        </w:numPr>
        <w:rPr>
          <w:rFonts w:asciiTheme="minorHAnsi" w:eastAsia="Cambria" w:hAnsiTheme="minorHAnsi" w:cs="Cambria"/>
          <w:b/>
          <w:i/>
        </w:rPr>
      </w:pPr>
      <w:r w:rsidRPr="00B3065A">
        <w:rPr>
          <w:rFonts w:asciiTheme="minorHAnsi" w:eastAsia="Cambria" w:hAnsiTheme="minorHAnsi" w:cs="Cambria"/>
        </w:rPr>
        <w:t>Download the Ph.D. Requirements Bulletin from the Office of Doctoral studies website</w:t>
      </w:r>
      <w:r w:rsidRPr="00B3065A">
        <w:rPr>
          <w:rFonts w:asciiTheme="minorHAnsi" w:eastAsia="Cambria" w:hAnsiTheme="minorHAnsi" w:cs="Cambria"/>
          <w:b/>
        </w:rPr>
        <w:t xml:space="preserve">. </w:t>
      </w:r>
      <w:hyperlink r:id="rId79">
        <w:r w:rsidRPr="00B3065A">
          <w:rPr>
            <w:rFonts w:asciiTheme="minorHAnsi" w:eastAsia="Cambria" w:hAnsiTheme="minorHAnsi" w:cs="Cambria"/>
            <w:b/>
            <w:color w:val="0000FF"/>
            <w:u w:val="single"/>
          </w:rPr>
          <w:t>https://www.tc.columbia.edu/doctoral/forms/requirements/</w:t>
        </w:r>
      </w:hyperlink>
    </w:p>
    <w:p w14:paraId="00000591" w14:textId="77777777" w:rsidR="00CD3527" w:rsidRPr="00B3065A" w:rsidRDefault="00CD3527">
      <w:pPr>
        <w:rPr>
          <w:rFonts w:asciiTheme="minorHAnsi" w:eastAsia="Cambria" w:hAnsiTheme="minorHAnsi" w:cs="Cambria"/>
        </w:rPr>
      </w:pPr>
    </w:p>
    <w:p w14:paraId="00000592" w14:textId="77777777" w:rsidR="00CD3527" w:rsidRPr="00B3065A" w:rsidRDefault="007F4AED">
      <w:pPr>
        <w:numPr>
          <w:ilvl w:val="0"/>
          <w:numId w:val="55"/>
        </w:numPr>
        <w:rPr>
          <w:rFonts w:asciiTheme="minorHAnsi" w:eastAsia="Cambria" w:hAnsiTheme="minorHAnsi" w:cs="Cambria"/>
        </w:rPr>
      </w:pPr>
      <w:r w:rsidRPr="00B3065A">
        <w:rPr>
          <w:rFonts w:asciiTheme="minorHAnsi" w:eastAsia="Cambria" w:hAnsiTheme="minorHAnsi" w:cs="Cambria"/>
        </w:rPr>
        <w:t xml:space="preserve">Find a Dissertation Advisor and a Second Reader. Your Dissertation Advisor </w:t>
      </w:r>
      <w:r w:rsidRPr="00B3065A">
        <w:rPr>
          <w:rFonts w:asciiTheme="minorHAnsi" w:eastAsia="Cambria" w:hAnsiTheme="minorHAnsi" w:cs="Cambria"/>
          <w:b/>
        </w:rPr>
        <w:t>must be</w:t>
      </w:r>
      <w:r w:rsidRPr="00B3065A">
        <w:rPr>
          <w:rFonts w:asciiTheme="minorHAnsi" w:eastAsia="Cambria" w:hAnsiTheme="minorHAnsi" w:cs="Cambria"/>
        </w:rPr>
        <w:t xml:space="preserve"> on Columbia University’s Graduate School of Arts &amp; Science’s (GSAS) list of approved Dissertation Advisors </w:t>
      </w:r>
      <w:hyperlink r:id="rId80">
        <w:r w:rsidRPr="00B3065A">
          <w:rPr>
            <w:rFonts w:asciiTheme="minorHAnsi" w:eastAsia="Cambria" w:hAnsiTheme="minorHAnsi" w:cs="Cambria"/>
            <w:b/>
            <w:color w:val="0000FF"/>
            <w:u w:val="single"/>
          </w:rPr>
          <w:t>https://gsas.columbia.edu/student-guide/dissertation/doctoral-dissertation-sponsors</w:t>
        </w:r>
      </w:hyperlink>
      <w:r w:rsidRPr="00B3065A">
        <w:rPr>
          <w:rFonts w:asciiTheme="minorHAnsi" w:eastAsia="Cambria" w:hAnsiTheme="minorHAnsi" w:cs="Cambria"/>
        </w:rPr>
        <w:t xml:space="preserve">. There is more latitude in selecting a Second Reader: while that person may be a full-time faculty member at Teachers College, he or she does not have to be; that is, this person can be an adjunct faculty member here or elsewhere at Columbia University. </w:t>
      </w:r>
    </w:p>
    <w:p w14:paraId="00000593" w14:textId="77777777" w:rsidR="00CD3527" w:rsidRPr="00B3065A" w:rsidRDefault="00CD3527">
      <w:pPr>
        <w:rPr>
          <w:rFonts w:asciiTheme="minorHAnsi" w:eastAsia="Cambria" w:hAnsiTheme="minorHAnsi" w:cs="Cambria"/>
        </w:rPr>
      </w:pPr>
    </w:p>
    <w:p w14:paraId="00000594" w14:textId="6F5425BE" w:rsidR="00CD3527" w:rsidRPr="00B3065A" w:rsidRDefault="007F4AED">
      <w:pPr>
        <w:numPr>
          <w:ilvl w:val="0"/>
          <w:numId w:val="57"/>
        </w:numPr>
        <w:rPr>
          <w:rFonts w:asciiTheme="minorHAnsi" w:eastAsia="Cambria" w:hAnsiTheme="minorHAnsi" w:cs="Cambria"/>
        </w:rPr>
      </w:pPr>
      <w:r w:rsidRPr="00B3065A">
        <w:rPr>
          <w:rFonts w:asciiTheme="minorHAnsi" w:eastAsia="Cambria" w:hAnsiTheme="minorHAnsi" w:cs="Cambria"/>
        </w:rPr>
        <w:t xml:space="preserve"> Choose a format for the dissertation.  Students can complete a “traditional” dissertation, which involves proposing a singular study that, once approved, is conducted and then data analyses are reviewed in the Advanced Seminar (“Data hearing”) and then defended in an oral defense meeting (Suggestions for conducting the “traditional method” can be found in Professor Farber’s “Guide for doing a dissertation in clinical psychology”; email Rebecca Shulevitz</w:t>
      </w:r>
      <w:r w:rsidR="00BF4E19">
        <w:rPr>
          <w:rFonts w:asciiTheme="minorHAnsi" w:eastAsia="Cambria" w:hAnsiTheme="minorHAnsi" w:cs="Cambria"/>
        </w:rPr>
        <w:t>,</w:t>
      </w:r>
      <w:r w:rsidRPr="00B3065A">
        <w:rPr>
          <w:rFonts w:asciiTheme="minorHAnsi" w:eastAsia="Cambria" w:hAnsiTheme="minorHAnsi" w:cs="Cambria"/>
        </w:rPr>
        <w:t xml:space="preserve"> (</w:t>
      </w:r>
      <w:hyperlink r:id="rId81">
        <w:r w:rsidRPr="00B3065A">
          <w:rPr>
            <w:rFonts w:asciiTheme="minorHAnsi" w:eastAsia="Cambria" w:hAnsiTheme="minorHAnsi" w:cs="Cambria"/>
            <w:color w:val="0000FF"/>
            <w:u w:val="single"/>
          </w:rPr>
          <w:t>Shulevitz@tc.columbia.edu</w:t>
        </w:r>
      </w:hyperlink>
      <w:r w:rsidR="00BF4E19">
        <w:rPr>
          <w:rFonts w:asciiTheme="minorHAnsi" w:eastAsia="Cambria" w:hAnsiTheme="minorHAnsi" w:cs="Cambria"/>
        </w:rPr>
        <w:t>,</w:t>
      </w:r>
      <w:r w:rsidRPr="00B3065A">
        <w:rPr>
          <w:rFonts w:asciiTheme="minorHAnsi" w:eastAsia="Cambria" w:hAnsiTheme="minorHAnsi" w:cs="Cambria"/>
        </w:rPr>
        <w:t xml:space="preserve"> to request a copy). Alternatively, students can choose the “3 Paper Dissertation format” (see below for description). </w:t>
      </w:r>
      <w:r w:rsidRPr="00B3065A">
        <w:rPr>
          <w:rFonts w:asciiTheme="minorHAnsi" w:eastAsia="Cambria" w:hAnsiTheme="minorHAnsi" w:cs="Cambria"/>
          <w:b/>
        </w:rPr>
        <w:t xml:space="preserve">Determination of which format to use must be made in consultation with your advisor and then approved by the DCT. </w:t>
      </w:r>
      <w:r w:rsidRPr="00B3065A">
        <w:rPr>
          <w:rFonts w:asciiTheme="minorHAnsi" w:eastAsia="Cambria" w:hAnsiTheme="minorHAnsi" w:cs="Cambria"/>
        </w:rPr>
        <w:t xml:space="preserve">The three paper dissertation format must be based on work that has been ongoing for many years of the program and has led to the development of a topic area that is reflected in the completion of at least 1-2 studies with at least one study submitted for publication. Further, these studies must have a common conceptual base. </w:t>
      </w:r>
    </w:p>
    <w:p w14:paraId="00000595" w14:textId="77777777" w:rsidR="00CD3527" w:rsidRPr="00B3065A" w:rsidRDefault="00CD3527">
      <w:pPr>
        <w:rPr>
          <w:rFonts w:asciiTheme="minorHAnsi" w:eastAsia="Cambria" w:hAnsiTheme="minorHAnsi" w:cs="Cambria"/>
        </w:rPr>
      </w:pPr>
    </w:p>
    <w:p w14:paraId="00000596" w14:textId="77777777" w:rsidR="00CD3527" w:rsidRPr="00B3065A" w:rsidRDefault="007F4AED">
      <w:pPr>
        <w:numPr>
          <w:ilvl w:val="0"/>
          <w:numId w:val="58"/>
        </w:numPr>
        <w:rPr>
          <w:rFonts w:asciiTheme="minorHAnsi" w:eastAsia="Cambria" w:hAnsiTheme="minorHAnsi" w:cs="Cambria"/>
        </w:rPr>
      </w:pPr>
      <w:r w:rsidRPr="00B3065A">
        <w:rPr>
          <w:rFonts w:asciiTheme="minorHAnsi" w:eastAsia="Cambria" w:hAnsiTheme="minorHAnsi" w:cs="Cambria"/>
        </w:rPr>
        <w:t xml:space="preserve">Write and revise the Dissertation Proposal until approved by Dissertation Advisor. (Some Dissertation Advisors may also require that the proposal be reviewed and approved by the Second Reader). </w:t>
      </w:r>
    </w:p>
    <w:p w14:paraId="00000597" w14:textId="77777777" w:rsidR="00CD3527" w:rsidRPr="00B3065A" w:rsidRDefault="00CD3527">
      <w:pPr>
        <w:rPr>
          <w:rFonts w:asciiTheme="minorHAnsi" w:eastAsia="Cambria" w:hAnsiTheme="minorHAnsi" w:cs="Cambria"/>
        </w:rPr>
      </w:pPr>
    </w:p>
    <w:p w14:paraId="00000598" w14:textId="77777777" w:rsidR="00CD3527" w:rsidRPr="00B3065A" w:rsidRDefault="007F4AED">
      <w:pPr>
        <w:numPr>
          <w:ilvl w:val="0"/>
          <w:numId w:val="59"/>
        </w:numPr>
        <w:rPr>
          <w:rFonts w:asciiTheme="minorHAnsi" w:eastAsia="Cambria" w:hAnsiTheme="minorHAnsi" w:cs="Cambria"/>
        </w:rPr>
      </w:pPr>
      <w:r w:rsidRPr="00B3065A">
        <w:rPr>
          <w:rFonts w:asciiTheme="minorHAnsi" w:eastAsia="Cambria" w:hAnsiTheme="minorHAnsi" w:cs="Cambria"/>
        </w:rPr>
        <w:t>Find a Third Reader</w:t>
      </w:r>
      <w:r w:rsidRPr="00B3065A">
        <w:rPr>
          <w:rFonts w:asciiTheme="minorHAnsi" w:eastAsia="New York" w:hAnsiTheme="minorHAnsi" w:cs="New York"/>
        </w:rPr>
        <w:t>––</w:t>
      </w:r>
      <w:r w:rsidRPr="00B3065A">
        <w:rPr>
          <w:rFonts w:asciiTheme="minorHAnsi" w:eastAsia="Cambria" w:hAnsiTheme="minorHAnsi" w:cs="Cambria"/>
        </w:rPr>
        <w:t xml:space="preserve">a full-time faculty member at TC and preferably someone who is approved to be a GSAS Dissertation Advisor. This Third Reader serves as a critical (in the best sense of the word), objective reviewer of your proposal. Why preferably someone who is approved to be a GSAS Dissertation Advisor? Because such individuals may continue as a member of your dissertation committee but are </w:t>
      </w:r>
      <w:r w:rsidRPr="00B3065A">
        <w:rPr>
          <w:rFonts w:asciiTheme="minorHAnsi" w:eastAsia="Cambria" w:hAnsiTheme="minorHAnsi" w:cs="Cambria"/>
          <w:b/>
        </w:rPr>
        <w:t>only eligible to serve as the Chair of an Advanced Seminar and as Defense Moderator of your Oral Defense Committee if they are an approved GSAS Dissertation Advisor</w:t>
      </w:r>
      <w:r w:rsidRPr="00B3065A">
        <w:rPr>
          <w:rFonts w:asciiTheme="minorHAnsi" w:eastAsia="Cambria" w:hAnsiTheme="minorHAnsi" w:cs="Cambria"/>
        </w:rPr>
        <w:t xml:space="preserve">. While such individuals typically continue to serve on your dissertation committee beyond the Proposal Hearing, </w:t>
      </w:r>
      <w:r w:rsidRPr="00B3065A">
        <w:rPr>
          <w:rFonts w:asciiTheme="minorHAnsi" w:eastAsia="Cambria" w:hAnsiTheme="minorHAnsi" w:cs="Cambria"/>
        </w:rPr>
        <w:lastRenderedPageBreak/>
        <w:t xml:space="preserve">there is no requirement that they do so; thus, you must request this of this faculty member. If such a faculty member will no longer serve after the proposal hearing, please ensure ODS is aware of the change in committee members so that they can update their database. </w:t>
      </w:r>
    </w:p>
    <w:p w14:paraId="00000599" w14:textId="77777777" w:rsidR="00CD3527" w:rsidRPr="00B3065A" w:rsidRDefault="00CD3527">
      <w:pPr>
        <w:ind w:left="270"/>
        <w:rPr>
          <w:rFonts w:asciiTheme="minorHAnsi" w:eastAsia="Cambria" w:hAnsiTheme="minorHAnsi" w:cs="Cambria"/>
        </w:rPr>
      </w:pPr>
    </w:p>
    <w:p w14:paraId="0000059A" w14:textId="77777777" w:rsidR="00CD3527" w:rsidRPr="00B3065A" w:rsidRDefault="007F4AED">
      <w:pPr>
        <w:numPr>
          <w:ilvl w:val="0"/>
          <w:numId w:val="59"/>
        </w:numPr>
        <w:rPr>
          <w:rFonts w:asciiTheme="minorHAnsi" w:eastAsia="Cambria" w:hAnsiTheme="minorHAnsi" w:cs="Cambria"/>
        </w:rPr>
      </w:pPr>
      <w:r w:rsidRPr="00B3065A">
        <w:rPr>
          <w:rFonts w:asciiTheme="minorHAnsi" w:eastAsia="Cambria" w:hAnsiTheme="minorHAnsi" w:cs="Cambria"/>
        </w:rPr>
        <w:t xml:space="preserve">When your committee is formed, it is then your responsibility to a) provide each with a copy of your Proposal (and check whether an e-copy or a hard copy is preferred); b) contact all three committee members to find a common </w:t>
      </w:r>
      <w:r w:rsidRPr="00B3065A">
        <w:rPr>
          <w:rFonts w:asciiTheme="minorHAnsi" w:eastAsia="Cambria" w:hAnsiTheme="minorHAnsi" w:cs="Cambria"/>
          <w:b/>
        </w:rPr>
        <w:t>90-minute block</w:t>
      </w:r>
      <w:r w:rsidRPr="00B3065A">
        <w:rPr>
          <w:rFonts w:asciiTheme="minorHAnsi" w:eastAsia="Cambria" w:hAnsiTheme="minorHAnsi" w:cs="Cambria"/>
        </w:rPr>
        <w:t xml:space="preserve"> of time for a Proposal Hearing; c) book a room for this meeting (if not exclusively a zoom meeting)—the secretary of your program can help with this; and d) confirm time and place of this meeting with committee members several days before it occurs.  </w:t>
      </w:r>
    </w:p>
    <w:p w14:paraId="0000059B" w14:textId="77777777" w:rsidR="00CD3527" w:rsidRPr="00B3065A" w:rsidRDefault="00CD3527">
      <w:pPr>
        <w:rPr>
          <w:rFonts w:asciiTheme="minorHAnsi" w:eastAsia="Cambria" w:hAnsiTheme="minorHAnsi" w:cs="Cambria"/>
        </w:rPr>
      </w:pPr>
    </w:p>
    <w:p w14:paraId="0000059C" w14:textId="77777777" w:rsidR="00CD3527" w:rsidRPr="00B3065A" w:rsidRDefault="007F4AED">
      <w:pPr>
        <w:numPr>
          <w:ilvl w:val="0"/>
          <w:numId w:val="73"/>
        </w:numPr>
        <w:rPr>
          <w:rFonts w:asciiTheme="minorHAnsi" w:eastAsia="Cambria" w:hAnsiTheme="minorHAnsi" w:cs="Cambria"/>
          <w:b/>
        </w:rPr>
      </w:pPr>
      <w:r w:rsidRPr="00B3065A">
        <w:rPr>
          <w:rFonts w:asciiTheme="minorHAnsi" w:eastAsia="Cambria" w:hAnsiTheme="minorHAnsi" w:cs="Cambria"/>
        </w:rPr>
        <w:t xml:space="preserve">Get a Proposal Hearing Form from ODS webpage </w:t>
      </w:r>
      <w:hyperlink r:id="rId82">
        <w:r w:rsidRPr="00B3065A">
          <w:rPr>
            <w:rFonts w:asciiTheme="minorHAnsi" w:eastAsia="Cambria" w:hAnsiTheme="minorHAnsi" w:cs="Cambria"/>
            <w:b/>
            <w:color w:val="0000FF"/>
            <w:u w:val="single"/>
          </w:rPr>
          <w:t>https://www.tc.columbia.edu/doctoral/forms/phd-students-forms/</w:t>
        </w:r>
      </w:hyperlink>
      <w:r w:rsidRPr="00B3065A">
        <w:rPr>
          <w:rFonts w:asciiTheme="minorHAnsi" w:eastAsia="Cambria" w:hAnsiTheme="minorHAnsi" w:cs="Cambria"/>
          <w:b/>
        </w:rPr>
        <w:t>.</w:t>
      </w:r>
    </w:p>
    <w:p w14:paraId="0000059D" w14:textId="77777777" w:rsidR="00CD3527" w:rsidRPr="00B3065A" w:rsidRDefault="00CD3527">
      <w:pPr>
        <w:rPr>
          <w:rFonts w:asciiTheme="minorHAnsi" w:eastAsia="Cambria" w:hAnsiTheme="minorHAnsi" w:cs="Cambria"/>
          <w:b/>
        </w:rPr>
      </w:pPr>
    </w:p>
    <w:p w14:paraId="0000059E" w14:textId="77777777" w:rsidR="00CD3527" w:rsidRPr="00B3065A" w:rsidRDefault="007F4AED">
      <w:pPr>
        <w:numPr>
          <w:ilvl w:val="0"/>
          <w:numId w:val="75"/>
        </w:numPr>
        <w:rPr>
          <w:rFonts w:asciiTheme="minorHAnsi" w:eastAsia="Cambria" w:hAnsiTheme="minorHAnsi" w:cs="Cambria"/>
          <w:b/>
        </w:rPr>
      </w:pPr>
      <w:r w:rsidRPr="00B3065A">
        <w:rPr>
          <w:rFonts w:asciiTheme="minorHAnsi" w:eastAsia="Cambria" w:hAnsiTheme="minorHAnsi" w:cs="Cambria"/>
          <w:b/>
        </w:rPr>
        <w:t xml:space="preserve">To defend the proposal, you must register in either your departmental   dissertation seminar (7500) or, if you’ve completed both seminars, dissertation advisement (8900). </w:t>
      </w:r>
      <w:r w:rsidRPr="00B3065A">
        <w:rPr>
          <w:rFonts w:asciiTheme="minorHAnsi" w:eastAsia="Cambria" w:hAnsiTheme="minorHAnsi" w:cs="Cambria"/>
        </w:rPr>
        <w:t>You should register for CCPX 7500 until you defend your proposal (you can be enrolled for it during the semester in which you defend your proposal). Following that, you register for CCPX 8900 (3 points) unless you are on internship in which case you don’t need to register for  CCPX 8900.  However, during the semester in which you are definitely defending your dissertation, you must take TI8900 which reflects a Columbia GSAS charge.  When you sign up for TI8900, you do not need to sign up for CCPX 8900. If you are working on your dissertation after internship, you will be able to sign up as a part-time student and do not have to enroll in CCPX 8900 but instead can enroll in IND 6000, which allows for a smaller amount of points and thus defrays costs.  However, please note that during the term in which you have an approved period of exemption from CCPX 8900, you yield your right to seek or receive advisement on the dissertation. International students studying on a visa may need to continue to sign up for CCPX 8900, however. Please inquire at the OISS office for updated terms and policies.</w:t>
      </w:r>
    </w:p>
    <w:p w14:paraId="0000059F" w14:textId="77777777" w:rsidR="00CD3527" w:rsidRPr="00B3065A" w:rsidRDefault="00CD3527">
      <w:pPr>
        <w:rPr>
          <w:rFonts w:asciiTheme="minorHAnsi" w:eastAsia="Cambria" w:hAnsiTheme="minorHAnsi" w:cs="Cambria"/>
        </w:rPr>
      </w:pPr>
    </w:p>
    <w:p w14:paraId="000005A0" w14:textId="77777777" w:rsidR="00CD3527" w:rsidRPr="00B3065A" w:rsidRDefault="007F4AED">
      <w:pPr>
        <w:numPr>
          <w:ilvl w:val="0"/>
          <w:numId w:val="74"/>
        </w:numPr>
        <w:rPr>
          <w:rFonts w:asciiTheme="minorHAnsi" w:eastAsia="Cambria" w:hAnsiTheme="minorHAnsi" w:cs="Cambria"/>
        </w:rPr>
      </w:pPr>
      <w:r w:rsidRPr="00B3065A">
        <w:rPr>
          <w:rFonts w:asciiTheme="minorHAnsi" w:eastAsia="Cambria" w:hAnsiTheme="minorHAnsi" w:cs="Cambria"/>
        </w:rPr>
        <w:t xml:space="preserve">Prepare </w:t>
      </w:r>
      <w:r w:rsidRPr="00B3065A">
        <w:rPr>
          <w:rFonts w:asciiTheme="minorHAnsi" w:eastAsia="Cambria" w:hAnsiTheme="minorHAnsi" w:cs="Cambria"/>
          <w:b/>
        </w:rPr>
        <w:t>15-20 minutes</w:t>
      </w:r>
      <w:r w:rsidRPr="00B3065A">
        <w:rPr>
          <w:rFonts w:asciiTheme="minorHAnsi" w:eastAsia="Cambria" w:hAnsiTheme="minorHAnsi" w:cs="Cambria"/>
        </w:rPr>
        <w:t xml:space="preserve"> of introductory remarks to present at the Proposal Hearing (typically via Powerpoint); pass the Proposal Hearing.</w:t>
      </w:r>
    </w:p>
    <w:p w14:paraId="000005A1" w14:textId="77777777" w:rsidR="00CD3527" w:rsidRPr="00B3065A" w:rsidRDefault="00CD3527">
      <w:pPr>
        <w:rPr>
          <w:rFonts w:asciiTheme="minorHAnsi" w:eastAsia="Cambria" w:hAnsiTheme="minorHAnsi" w:cs="Cambria"/>
        </w:rPr>
      </w:pPr>
    </w:p>
    <w:p w14:paraId="000005A2" w14:textId="77777777" w:rsidR="00CD3527" w:rsidRPr="00B3065A" w:rsidRDefault="007F4AED">
      <w:pPr>
        <w:numPr>
          <w:ilvl w:val="0"/>
          <w:numId w:val="67"/>
        </w:numPr>
        <w:rPr>
          <w:rFonts w:asciiTheme="minorHAnsi" w:eastAsia="Cambria" w:hAnsiTheme="minorHAnsi" w:cs="Cambria"/>
        </w:rPr>
      </w:pPr>
      <w:r w:rsidRPr="00B3065A">
        <w:rPr>
          <w:rFonts w:asciiTheme="minorHAnsi" w:eastAsia="Cambria" w:hAnsiTheme="minorHAnsi" w:cs="Cambria"/>
        </w:rPr>
        <w:t xml:space="preserve">Obtain IRB approval. Check with your Dissertation Advisor as to whether the IRB materials should be submitted prior to the proposal hearing; often this will depend on whether the data have already been collected (in which case IRB approval submission shortly prior to the Proposal Hearing may be indicated) or whether the methodology and data collected are likely to be modified as a result of the Proposal Hearing (in which case IRB approval after the Proposal Hearing is indicated). In either case, note that the IRB letter submitted to ODS must be in the student’s name or listed as co-author and the letter must be dated </w:t>
      </w:r>
      <w:r w:rsidRPr="00B3065A">
        <w:rPr>
          <w:rFonts w:asciiTheme="minorHAnsi" w:eastAsia="Cambria" w:hAnsiTheme="minorHAnsi" w:cs="Cambria"/>
          <w:b/>
        </w:rPr>
        <w:t>after</w:t>
      </w:r>
      <w:r w:rsidRPr="00B3065A">
        <w:rPr>
          <w:rFonts w:asciiTheme="minorHAnsi" w:eastAsia="Cambria" w:hAnsiTheme="minorHAnsi" w:cs="Cambria"/>
        </w:rPr>
        <w:t xml:space="preserve"> the proposal hearing. </w:t>
      </w:r>
    </w:p>
    <w:p w14:paraId="000005A3" w14:textId="77777777" w:rsidR="00CD3527" w:rsidRPr="00B3065A" w:rsidRDefault="00CD3527">
      <w:pPr>
        <w:ind w:left="630"/>
        <w:rPr>
          <w:rFonts w:asciiTheme="minorHAnsi" w:eastAsia="Cambria" w:hAnsiTheme="minorHAnsi" w:cs="Cambria"/>
        </w:rPr>
      </w:pPr>
    </w:p>
    <w:p w14:paraId="000005A4" w14:textId="77777777" w:rsidR="00CD3527" w:rsidRPr="00B3065A" w:rsidRDefault="007F4AED">
      <w:pPr>
        <w:numPr>
          <w:ilvl w:val="0"/>
          <w:numId w:val="66"/>
        </w:numPr>
        <w:rPr>
          <w:rFonts w:asciiTheme="minorHAnsi" w:eastAsia="Cambria" w:hAnsiTheme="minorHAnsi" w:cs="Cambria"/>
        </w:rPr>
      </w:pPr>
      <w:r w:rsidRPr="00B3065A">
        <w:rPr>
          <w:rFonts w:asciiTheme="minorHAnsi" w:eastAsia="Cambria" w:hAnsiTheme="minorHAnsi" w:cs="Cambria"/>
        </w:rPr>
        <w:t xml:space="preserve">Following a successful Proposal Hearing, email three PDF documents to ODS: a) a copy of the IRB approval; b) the signed Proposal Hearing Form; and c) a copy of the Proposal. </w:t>
      </w:r>
      <w:r w:rsidRPr="00B3065A">
        <w:rPr>
          <w:rFonts w:asciiTheme="minorHAnsi" w:eastAsia="Cambria" w:hAnsiTheme="minorHAnsi" w:cs="Cambria"/>
          <w:b/>
        </w:rPr>
        <w:t xml:space="preserve">Submit the Proposal Hearing Form as soon as you are able, and then the other two items together when completed. ODS will approve your submission when all three items are received. </w:t>
      </w:r>
    </w:p>
    <w:p w14:paraId="000005A5" w14:textId="77777777" w:rsidR="00CD3527" w:rsidRPr="00B3065A" w:rsidRDefault="00CD3527">
      <w:pPr>
        <w:rPr>
          <w:rFonts w:asciiTheme="minorHAnsi" w:eastAsia="Cambria" w:hAnsiTheme="minorHAnsi" w:cs="Cambria"/>
        </w:rPr>
      </w:pPr>
    </w:p>
    <w:p w14:paraId="000005A6" w14:textId="77777777" w:rsidR="00CD3527" w:rsidRPr="00B3065A" w:rsidRDefault="007F4AED">
      <w:pPr>
        <w:numPr>
          <w:ilvl w:val="0"/>
          <w:numId w:val="66"/>
        </w:numPr>
        <w:rPr>
          <w:rFonts w:asciiTheme="minorHAnsi" w:eastAsia="Cambria" w:hAnsiTheme="minorHAnsi" w:cs="Cambria"/>
        </w:rPr>
      </w:pPr>
      <w:r w:rsidRPr="00B3065A">
        <w:rPr>
          <w:rFonts w:asciiTheme="minorHAnsi" w:eastAsia="Cambria" w:hAnsiTheme="minorHAnsi" w:cs="Cambria"/>
        </w:rPr>
        <w:t xml:space="preserve">At this point, you should have completed your Master of Philosophy requirements. These include: </w:t>
      </w:r>
    </w:p>
    <w:p w14:paraId="000005A7" w14:textId="77777777" w:rsidR="00CD3527" w:rsidRPr="00B3065A" w:rsidRDefault="00CD3527">
      <w:pPr>
        <w:ind w:left="630"/>
        <w:rPr>
          <w:rFonts w:asciiTheme="minorHAnsi" w:eastAsia="Cambria" w:hAnsiTheme="minorHAnsi" w:cs="Cambria"/>
        </w:rPr>
      </w:pPr>
    </w:p>
    <w:p w14:paraId="000005A8" w14:textId="77777777" w:rsidR="00CD3527" w:rsidRPr="00B3065A" w:rsidRDefault="007F4AED">
      <w:pPr>
        <w:numPr>
          <w:ilvl w:val="0"/>
          <w:numId w:val="23"/>
        </w:numPr>
        <w:rPr>
          <w:rFonts w:asciiTheme="minorHAnsi" w:eastAsia="Cambria" w:hAnsiTheme="minorHAnsi" w:cs="Cambria"/>
        </w:rPr>
      </w:pPr>
      <w:r w:rsidRPr="00B3065A">
        <w:rPr>
          <w:rFonts w:asciiTheme="minorHAnsi" w:eastAsia="Cambria" w:hAnsiTheme="minorHAnsi" w:cs="Cambria"/>
        </w:rPr>
        <w:t>Completing your program’s certification requirements: Second-Year Project and presentation of research at colloquium for clinical students</w:t>
      </w:r>
    </w:p>
    <w:p w14:paraId="000005A9" w14:textId="77777777" w:rsidR="00CD3527" w:rsidRPr="00B3065A" w:rsidRDefault="00CD3527">
      <w:pPr>
        <w:ind w:left="630"/>
        <w:rPr>
          <w:rFonts w:asciiTheme="minorHAnsi" w:eastAsia="Cambria" w:hAnsiTheme="minorHAnsi" w:cs="Cambria"/>
        </w:rPr>
      </w:pPr>
    </w:p>
    <w:p w14:paraId="000005AA" w14:textId="77777777" w:rsidR="00CD3527" w:rsidRPr="00B3065A" w:rsidRDefault="007F4AED">
      <w:pPr>
        <w:numPr>
          <w:ilvl w:val="0"/>
          <w:numId w:val="23"/>
        </w:numPr>
        <w:rPr>
          <w:rFonts w:asciiTheme="minorHAnsi" w:eastAsia="Cambria" w:hAnsiTheme="minorHAnsi" w:cs="Cambria"/>
        </w:rPr>
      </w:pPr>
      <w:r w:rsidRPr="00B3065A">
        <w:rPr>
          <w:rFonts w:asciiTheme="minorHAnsi" w:eastAsia="Cambria" w:hAnsiTheme="minorHAnsi" w:cs="Cambria"/>
        </w:rPr>
        <w:t xml:space="preserve">Submitting your Program Plan </w:t>
      </w:r>
      <w:hyperlink r:id="rId83">
        <w:r w:rsidRPr="00B3065A">
          <w:rPr>
            <w:rFonts w:asciiTheme="minorHAnsi" w:eastAsia="Cambria" w:hAnsiTheme="minorHAnsi" w:cs="Cambria"/>
            <w:color w:val="0000FF"/>
            <w:u w:val="single"/>
          </w:rPr>
          <w:t>https://www.tc.columbia.edu/doctoral/degree-audit/</w:t>
        </w:r>
      </w:hyperlink>
    </w:p>
    <w:p w14:paraId="000005AB" w14:textId="77777777" w:rsidR="00CD3527" w:rsidRPr="00B3065A" w:rsidRDefault="00CD3527">
      <w:pPr>
        <w:rPr>
          <w:rFonts w:asciiTheme="minorHAnsi" w:eastAsia="Cambria" w:hAnsiTheme="minorHAnsi" w:cs="Cambria"/>
        </w:rPr>
      </w:pPr>
    </w:p>
    <w:p w14:paraId="000005AC" w14:textId="77777777" w:rsidR="00CD3527" w:rsidRPr="00B3065A" w:rsidRDefault="007F4AED">
      <w:pPr>
        <w:numPr>
          <w:ilvl w:val="0"/>
          <w:numId w:val="23"/>
        </w:numPr>
        <w:rPr>
          <w:rFonts w:asciiTheme="minorHAnsi" w:eastAsia="Cambria" w:hAnsiTheme="minorHAnsi" w:cs="Cambria"/>
        </w:rPr>
      </w:pPr>
      <w:r w:rsidRPr="00B3065A">
        <w:rPr>
          <w:rFonts w:asciiTheme="minorHAnsi" w:eastAsia="Cambria" w:hAnsiTheme="minorHAnsi" w:cs="Cambria"/>
        </w:rPr>
        <w:t>Completing all coursework towards the Ph.D. degree including at least one semester of Dissertation Seminar (7500 series)</w:t>
      </w:r>
    </w:p>
    <w:p w14:paraId="000005AD" w14:textId="77777777" w:rsidR="00CD3527" w:rsidRPr="00B3065A" w:rsidRDefault="00CD3527">
      <w:pPr>
        <w:rPr>
          <w:rFonts w:asciiTheme="minorHAnsi" w:eastAsia="Cambria" w:hAnsiTheme="minorHAnsi" w:cs="Cambria"/>
        </w:rPr>
      </w:pPr>
    </w:p>
    <w:p w14:paraId="000005AE" w14:textId="77777777" w:rsidR="00CD3527" w:rsidRPr="00B3065A" w:rsidRDefault="007F4AED">
      <w:pPr>
        <w:ind w:left="630"/>
        <w:rPr>
          <w:rFonts w:asciiTheme="minorHAnsi" w:eastAsia="Cambria" w:hAnsiTheme="minorHAnsi" w:cs="Cambria"/>
        </w:rPr>
      </w:pPr>
      <w:r w:rsidRPr="00B3065A">
        <w:rPr>
          <w:rFonts w:asciiTheme="minorHAnsi" w:eastAsia="Cambria" w:hAnsiTheme="minorHAnsi" w:cs="Cambria"/>
        </w:rPr>
        <w:t xml:space="preserve">Some programs may allow you to have a Proposal Hearing while you are awaiting final evaluations for the Certification Exam (Third year Research Presentation); this assumes, of course, that you have presented by the time of the Proposal hearing.  It also assumes that you have received acceptable competency ratings on your research presentation evaluations. If not, you will need to complete the remediation program to competency before having a Proposal Hearing.  </w:t>
      </w:r>
    </w:p>
    <w:p w14:paraId="000005AF" w14:textId="77777777" w:rsidR="00CD3527" w:rsidRPr="00B3065A" w:rsidRDefault="00CD3527">
      <w:pPr>
        <w:ind w:left="630"/>
        <w:rPr>
          <w:rFonts w:asciiTheme="minorHAnsi" w:eastAsia="Cambria" w:hAnsiTheme="minorHAnsi" w:cs="Cambria"/>
        </w:rPr>
      </w:pPr>
    </w:p>
    <w:p w14:paraId="000005B0" w14:textId="77777777" w:rsidR="00CD3527" w:rsidRPr="00B3065A" w:rsidRDefault="007F4AED">
      <w:pPr>
        <w:ind w:left="630"/>
        <w:rPr>
          <w:rFonts w:asciiTheme="minorHAnsi" w:eastAsia="Cambria" w:hAnsiTheme="minorHAnsi" w:cs="Cambria"/>
        </w:rPr>
      </w:pPr>
      <w:r w:rsidRPr="00B3065A">
        <w:rPr>
          <w:rFonts w:asciiTheme="minorHAnsi" w:eastAsia="Cambria" w:hAnsiTheme="minorHAnsi" w:cs="Cambria"/>
        </w:rPr>
        <w:t xml:space="preserve">You do not need to take two semesters of 7500 if you successfully defend your dissertation proposal during your first semester. If you have successfully defended, you may then take Dissertation Advisement (8900). Consult your advisor and/or program coordinator. </w:t>
      </w:r>
    </w:p>
    <w:p w14:paraId="000005B1" w14:textId="77777777" w:rsidR="00CD3527" w:rsidRPr="00B3065A" w:rsidRDefault="00CD3527">
      <w:pPr>
        <w:ind w:left="630"/>
        <w:rPr>
          <w:rFonts w:asciiTheme="minorHAnsi" w:eastAsia="Cambria" w:hAnsiTheme="minorHAnsi" w:cs="Cambria"/>
        </w:rPr>
      </w:pPr>
    </w:p>
    <w:p w14:paraId="000005B2" w14:textId="77777777" w:rsidR="00CD3527" w:rsidRPr="00B3065A" w:rsidRDefault="007F4AED">
      <w:pPr>
        <w:ind w:left="630"/>
        <w:rPr>
          <w:rFonts w:asciiTheme="minorHAnsi" w:eastAsia="Cambria" w:hAnsiTheme="minorHAnsi" w:cs="Cambria"/>
        </w:rPr>
      </w:pPr>
      <w:r w:rsidRPr="00B3065A">
        <w:rPr>
          <w:rFonts w:asciiTheme="minorHAnsi" w:eastAsia="Cambria" w:hAnsiTheme="minorHAnsi" w:cs="Cambria"/>
        </w:rPr>
        <w:t xml:space="preserve">Period of Eligibility: Every PhD student is given a “period of eligibility” with an option to extend that period if needed. This must be currently valid, or an extension will be required. Please see ODS forms on requesting an extension here. </w:t>
      </w:r>
    </w:p>
    <w:p w14:paraId="000005B3" w14:textId="77777777" w:rsidR="00CD3527" w:rsidRPr="00B3065A" w:rsidRDefault="007F4AED">
      <w:pPr>
        <w:ind w:left="630"/>
        <w:rPr>
          <w:rFonts w:asciiTheme="minorHAnsi" w:eastAsia="Cambria" w:hAnsiTheme="minorHAnsi" w:cs="Cambria"/>
        </w:rPr>
      </w:pPr>
      <w:r w:rsidRPr="00B3065A">
        <w:rPr>
          <w:rFonts w:asciiTheme="minorHAnsi" w:eastAsia="Cambria" w:hAnsiTheme="minorHAnsi" w:cs="Cambria"/>
        </w:rPr>
        <w:t xml:space="preserve">• Tip: To see when your period of Eligibility expires, go to your Degree Audit on your myTC portal, click “Create Audit” and it will be at the top of the audit. </w:t>
      </w:r>
    </w:p>
    <w:p w14:paraId="000005B4" w14:textId="77777777" w:rsidR="00CD3527" w:rsidRPr="00B3065A" w:rsidRDefault="00CD3527">
      <w:pPr>
        <w:rPr>
          <w:rFonts w:asciiTheme="minorHAnsi" w:eastAsia="Cambria" w:hAnsiTheme="minorHAnsi" w:cs="Cambria"/>
        </w:rPr>
      </w:pPr>
    </w:p>
    <w:p w14:paraId="000005B5" w14:textId="0A38D3C0" w:rsidR="00CD3527" w:rsidRPr="00B3065A" w:rsidRDefault="007F4AED">
      <w:pPr>
        <w:ind w:left="630"/>
        <w:rPr>
          <w:rFonts w:asciiTheme="minorHAnsi" w:eastAsia="Cambria" w:hAnsiTheme="minorHAnsi" w:cs="Cambria"/>
          <w:b/>
        </w:rPr>
      </w:pPr>
      <w:r w:rsidRPr="00B3065A">
        <w:rPr>
          <w:rFonts w:asciiTheme="minorHAnsi" w:eastAsia="Cambria" w:hAnsiTheme="minorHAnsi" w:cs="Cambria"/>
          <w:b/>
        </w:rPr>
        <w:t>You must have completed the Master of Philosophy requirements, submitted a dissertation proposal, and passed the Advanced Seminar (optional in the “3-paper” dissertation format) to defend the dissertation. Completing the M</w:t>
      </w:r>
      <w:r w:rsidR="00987026">
        <w:rPr>
          <w:rFonts w:asciiTheme="minorHAnsi" w:eastAsia="Cambria" w:hAnsiTheme="minorHAnsi" w:cs="Cambria"/>
          <w:b/>
        </w:rPr>
        <w:t>P</w:t>
      </w:r>
      <w:r w:rsidRPr="00B3065A">
        <w:rPr>
          <w:rFonts w:asciiTheme="minorHAnsi" w:eastAsia="Cambria" w:hAnsiTheme="minorHAnsi" w:cs="Cambria"/>
          <w:b/>
        </w:rPr>
        <w:t>hil is a GSAS requirement and there are no exceptions.</w:t>
      </w:r>
    </w:p>
    <w:p w14:paraId="000005B6" w14:textId="77777777" w:rsidR="00CD3527" w:rsidRPr="00B3065A" w:rsidRDefault="00CD3527">
      <w:pPr>
        <w:rPr>
          <w:rFonts w:asciiTheme="minorHAnsi" w:eastAsia="Cambria" w:hAnsiTheme="minorHAnsi" w:cs="Cambria"/>
          <w:b/>
          <w:i/>
        </w:rPr>
      </w:pPr>
    </w:p>
    <w:p w14:paraId="000005B7" w14:textId="77777777" w:rsidR="00CD3527" w:rsidRPr="00B3065A" w:rsidRDefault="007F4AED">
      <w:pPr>
        <w:numPr>
          <w:ilvl w:val="0"/>
          <w:numId w:val="69"/>
        </w:numPr>
        <w:rPr>
          <w:rFonts w:asciiTheme="minorHAnsi" w:eastAsia="Cambria" w:hAnsiTheme="minorHAnsi" w:cs="Cambria"/>
        </w:rPr>
      </w:pPr>
      <w:r w:rsidRPr="00B3065A">
        <w:rPr>
          <w:rFonts w:asciiTheme="minorHAnsi" w:eastAsia="Cambria" w:hAnsiTheme="minorHAnsi" w:cs="Cambria"/>
        </w:rPr>
        <w:t>Write Intro and Method Sections of the Dissertation (Follow APA style guidelines!)</w:t>
      </w:r>
    </w:p>
    <w:p w14:paraId="000005B8" w14:textId="77777777" w:rsidR="00CD3527" w:rsidRPr="00B3065A" w:rsidRDefault="00CD3527">
      <w:pPr>
        <w:rPr>
          <w:rFonts w:asciiTheme="minorHAnsi" w:eastAsia="Cambria" w:hAnsiTheme="minorHAnsi" w:cs="Cambria"/>
        </w:rPr>
      </w:pPr>
    </w:p>
    <w:p w14:paraId="000005B9" w14:textId="77777777" w:rsidR="00CD3527" w:rsidRPr="00B3065A" w:rsidRDefault="007F4AED">
      <w:pPr>
        <w:numPr>
          <w:ilvl w:val="0"/>
          <w:numId w:val="68"/>
        </w:numPr>
        <w:rPr>
          <w:rFonts w:asciiTheme="minorHAnsi" w:eastAsia="Cambria" w:hAnsiTheme="minorHAnsi" w:cs="Cambria"/>
        </w:rPr>
      </w:pPr>
      <w:r w:rsidRPr="00B3065A">
        <w:rPr>
          <w:rFonts w:asciiTheme="minorHAnsi" w:eastAsia="Cambria" w:hAnsiTheme="minorHAnsi" w:cs="Cambria"/>
        </w:rPr>
        <w:t>Collect data (if completing “traditional” dissertation; otherwise data can be collected by this point if completing “3-paper” dissertation).</w:t>
      </w:r>
    </w:p>
    <w:p w14:paraId="000005BA" w14:textId="77777777" w:rsidR="00CD3527" w:rsidRPr="00B3065A" w:rsidRDefault="00CD3527">
      <w:pPr>
        <w:rPr>
          <w:rFonts w:asciiTheme="minorHAnsi" w:eastAsia="Cambria" w:hAnsiTheme="minorHAnsi" w:cs="Cambria"/>
        </w:rPr>
      </w:pPr>
    </w:p>
    <w:p w14:paraId="000005BB" w14:textId="77777777" w:rsidR="00CD3527" w:rsidRPr="00B3065A" w:rsidRDefault="007F4AED">
      <w:pPr>
        <w:numPr>
          <w:ilvl w:val="0"/>
          <w:numId w:val="70"/>
        </w:numPr>
        <w:rPr>
          <w:rFonts w:asciiTheme="minorHAnsi" w:eastAsia="Cambria" w:hAnsiTheme="minorHAnsi" w:cs="Cambria"/>
        </w:rPr>
      </w:pPr>
      <w:r w:rsidRPr="00B3065A">
        <w:rPr>
          <w:rFonts w:asciiTheme="minorHAnsi" w:eastAsia="Cambria" w:hAnsiTheme="minorHAnsi" w:cs="Cambria"/>
        </w:rPr>
        <w:t xml:space="preserve">With your Dissertation Advisor’s approval and advice, recruit a TC faculty member who is approved as a GSAS Dissertation Advisor to serve as Chair of your Advanced Seminar (optional in the “3-paper” dissertation format). (As above, this individual may be the same person who served as Third Reader at your Proposal Hearing; alternatively, you may choose a different TC faculty member, perhaps someone who’s especially knowledgeable about research methodology and/or statistics; remember, though, that this person </w:t>
      </w:r>
      <w:r w:rsidRPr="00B3065A">
        <w:rPr>
          <w:rFonts w:asciiTheme="minorHAnsi" w:eastAsia="Cambria" w:hAnsiTheme="minorHAnsi" w:cs="Cambria"/>
          <w:b/>
        </w:rPr>
        <w:t>must be</w:t>
      </w:r>
      <w:r w:rsidRPr="00B3065A">
        <w:rPr>
          <w:rFonts w:asciiTheme="minorHAnsi" w:eastAsia="Cambria" w:hAnsiTheme="minorHAnsi" w:cs="Cambria"/>
        </w:rPr>
        <w:t xml:space="preserve"> an approved GSAS Dissertation Advisor to serve in this role). </w:t>
      </w:r>
    </w:p>
    <w:p w14:paraId="000005BC" w14:textId="77777777" w:rsidR="00CD3527" w:rsidRPr="00B3065A" w:rsidRDefault="00CD3527">
      <w:pPr>
        <w:ind w:left="630"/>
        <w:rPr>
          <w:rFonts w:asciiTheme="minorHAnsi" w:eastAsia="Cambria" w:hAnsiTheme="minorHAnsi" w:cs="Cambria"/>
        </w:rPr>
      </w:pPr>
    </w:p>
    <w:p w14:paraId="000005BD" w14:textId="77777777" w:rsidR="00CD3527" w:rsidRPr="00B3065A" w:rsidRDefault="007F4AED">
      <w:pPr>
        <w:numPr>
          <w:ilvl w:val="0"/>
          <w:numId w:val="70"/>
        </w:numPr>
        <w:rPr>
          <w:rFonts w:asciiTheme="minorHAnsi" w:eastAsia="Cambria" w:hAnsiTheme="minorHAnsi" w:cs="Cambria"/>
        </w:rPr>
      </w:pPr>
      <w:r w:rsidRPr="00B3065A">
        <w:rPr>
          <w:rFonts w:asciiTheme="minorHAnsi" w:eastAsia="Cambria" w:hAnsiTheme="minorHAnsi" w:cs="Cambria"/>
        </w:rPr>
        <w:t xml:space="preserve">If completing an advanced seminar (“data hearing”), fill out the form (“Application for Advanced Seminar and Instructions”) available on-line at the ODS website: </w:t>
      </w:r>
      <w:hyperlink r:id="rId84">
        <w:r w:rsidRPr="00B3065A">
          <w:rPr>
            <w:rFonts w:asciiTheme="minorHAnsi" w:eastAsia="Cambria" w:hAnsiTheme="minorHAnsi" w:cs="Cambria"/>
            <w:b/>
            <w:color w:val="0000FF"/>
            <w:u w:val="single"/>
          </w:rPr>
          <w:t>https://www.tc.columbia.edu/doctoral/forms/phd-students-forms/</w:t>
        </w:r>
      </w:hyperlink>
      <w:r w:rsidRPr="00B3065A">
        <w:rPr>
          <w:rFonts w:asciiTheme="minorHAnsi" w:eastAsia="Cambria" w:hAnsiTheme="minorHAnsi" w:cs="Cambria"/>
        </w:rPr>
        <w:t xml:space="preserve">, obtain the signature of your Dissertation Advisor, and submit the PDF copy to ODS </w:t>
      </w:r>
      <w:r w:rsidRPr="00B3065A">
        <w:rPr>
          <w:rFonts w:asciiTheme="minorHAnsi" w:eastAsia="Cambria" w:hAnsiTheme="minorHAnsi" w:cs="Cambria"/>
          <w:b/>
        </w:rPr>
        <w:t>at least one week before</w:t>
      </w:r>
      <w:r w:rsidRPr="00B3065A">
        <w:rPr>
          <w:rFonts w:asciiTheme="minorHAnsi" w:eastAsia="Cambria" w:hAnsiTheme="minorHAnsi" w:cs="Cambria"/>
        </w:rPr>
        <w:t xml:space="preserve"> the date of your Advanced Seminar. </w:t>
      </w:r>
    </w:p>
    <w:p w14:paraId="000005BE" w14:textId="77777777" w:rsidR="00CD3527" w:rsidRPr="00B3065A" w:rsidRDefault="00CD3527">
      <w:pPr>
        <w:rPr>
          <w:rFonts w:asciiTheme="minorHAnsi" w:eastAsia="Cambria" w:hAnsiTheme="minorHAnsi" w:cs="Cambria"/>
        </w:rPr>
      </w:pPr>
    </w:p>
    <w:p w14:paraId="000005BF" w14:textId="77777777" w:rsidR="00CD3527" w:rsidRPr="00B3065A" w:rsidRDefault="007F4AED">
      <w:pPr>
        <w:numPr>
          <w:ilvl w:val="0"/>
          <w:numId w:val="50"/>
        </w:numPr>
        <w:rPr>
          <w:rFonts w:asciiTheme="minorHAnsi" w:eastAsia="Cambria" w:hAnsiTheme="minorHAnsi" w:cs="Cambria"/>
          <w:b/>
        </w:rPr>
      </w:pPr>
      <w:r w:rsidRPr="00B3065A">
        <w:rPr>
          <w:rFonts w:asciiTheme="minorHAnsi" w:eastAsia="Cambria" w:hAnsiTheme="minorHAnsi" w:cs="Cambria"/>
          <w:b/>
        </w:rPr>
        <w:t>To hold the Advanced Seminar, you must register for either Dissertation</w:t>
      </w:r>
    </w:p>
    <w:p w14:paraId="000005C0" w14:textId="77777777" w:rsidR="00CD3527" w:rsidRPr="00B3065A" w:rsidRDefault="007F4AED">
      <w:pPr>
        <w:ind w:left="630"/>
        <w:rPr>
          <w:rFonts w:asciiTheme="minorHAnsi" w:eastAsia="Cambria" w:hAnsiTheme="minorHAnsi" w:cs="Cambria"/>
          <w:b/>
        </w:rPr>
      </w:pPr>
      <w:r w:rsidRPr="00B3065A">
        <w:rPr>
          <w:rFonts w:asciiTheme="minorHAnsi" w:eastAsia="Cambria" w:hAnsiTheme="minorHAnsi" w:cs="Cambria"/>
          <w:b/>
        </w:rPr>
        <w:t xml:space="preserve">Advisement (CCPX 8900) or, if you’re planning on defending the same term, Ph.D. Oral Defense (TI8900). </w:t>
      </w:r>
    </w:p>
    <w:p w14:paraId="000005C1" w14:textId="77777777" w:rsidR="00CD3527" w:rsidRPr="00B3065A" w:rsidRDefault="00CD3527">
      <w:pPr>
        <w:ind w:left="630"/>
        <w:rPr>
          <w:rFonts w:asciiTheme="minorHAnsi" w:eastAsia="Cambria" w:hAnsiTheme="minorHAnsi" w:cs="Cambria"/>
          <w:b/>
        </w:rPr>
      </w:pPr>
    </w:p>
    <w:p w14:paraId="000005C2" w14:textId="77777777" w:rsidR="00CD3527" w:rsidRPr="00B3065A" w:rsidRDefault="007F4AED">
      <w:pPr>
        <w:numPr>
          <w:ilvl w:val="0"/>
          <w:numId w:val="71"/>
        </w:numPr>
        <w:rPr>
          <w:rFonts w:asciiTheme="minorHAnsi" w:eastAsia="Cambria" w:hAnsiTheme="minorHAnsi" w:cs="Cambria"/>
        </w:rPr>
      </w:pPr>
      <w:r w:rsidRPr="00B3065A">
        <w:rPr>
          <w:rFonts w:asciiTheme="minorHAnsi" w:eastAsia="Cambria" w:hAnsiTheme="minorHAnsi" w:cs="Cambria"/>
        </w:rPr>
        <w:t>Arrange time (a 90-minute block) and place for Advanced Seminar (confirm with committee members a day or two before meeting).</w:t>
      </w:r>
    </w:p>
    <w:p w14:paraId="000005C3" w14:textId="77777777" w:rsidR="00CD3527" w:rsidRPr="00B3065A" w:rsidRDefault="00CD3527">
      <w:pPr>
        <w:rPr>
          <w:rFonts w:asciiTheme="minorHAnsi" w:eastAsia="Cambria" w:hAnsiTheme="minorHAnsi" w:cs="Cambria"/>
        </w:rPr>
      </w:pPr>
    </w:p>
    <w:p w14:paraId="000005C4" w14:textId="77777777" w:rsidR="00CD3527" w:rsidRPr="00B3065A" w:rsidRDefault="007F4AED">
      <w:pPr>
        <w:numPr>
          <w:ilvl w:val="0"/>
          <w:numId w:val="49"/>
        </w:numPr>
        <w:rPr>
          <w:rFonts w:asciiTheme="minorHAnsi" w:eastAsia="Cambria" w:hAnsiTheme="minorHAnsi" w:cs="Cambria"/>
        </w:rPr>
      </w:pPr>
      <w:r w:rsidRPr="00B3065A">
        <w:rPr>
          <w:rFonts w:asciiTheme="minorHAnsi" w:eastAsia="Cambria" w:hAnsiTheme="minorHAnsi" w:cs="Cambria"/>
        </w:rPr>
        <w:t xml:space="preserve">Send all three committee members a copy of your hypotheses/research questions and tables </w:t>
      </w:r>
      <w:r w:rsidRPr="00B3065A">
        <w:rPr>
          <w:rFonts w:asciiTheme="minorHAnsi" w:eastAsia="Cambria" w:hAnsiTheme="minorHAnsi" w:cs="Cambria"/>
          <w:b/>
        </w:rPr>
        <w:t>at least one week prior to the meeting</w:t>
      </w:r>
      <w:r w:rsidRPr="00B3065A">
        <w:rPr>
          <w:rFonts w:asciiTheme="minorHAnsi" w:eastAsia="Cambria" w:hAnsiTheme="minorHAnsi" w:cs="Cambria"/>
        </w:rPr>
        <w:t>.  Some faculty will also require that you provide a written, full text, Results section before the Advanced Seminar. Check as to whether each prefers a hard copy of these materials and/or an e-copy.</w:t>
      </w:r>
    </w:p>
    <w:p w14:paraId="000005C5" w14:textId="77777777" w:rsidR="00CD3527" w:rsidRPr="00B3065A" w:rsidRDefault="00CD3527">
      <w:pPr>
        <w:ind w:left="630"/>
        <w:rPr>
          <w:rFonts w:asciiTheme="minorHAnsi" w:eastAsia="Cambria" w:hAnsiTheme="minorHAnsi" w:cs="Cambria"/>
        </w:rPr>
      </w:pPr>
    </w:p>
    <w:p w14:paraId="000005C6" w14:textId="77777777" w:rsidR="00CD3527" w:rsidRPr="00B3065A" w:rsidRDefault="007F4AED">
      <w:pPr>
        <w:numPr>
          <w:ilvl w:val="0"/>
          <w:numId w:val="52"/>
        </w:numPr>
        <w:rPr>
          <w:rFonts w:asciiTheme="minorHAnsi" w:eastAsia="Cambria" w:hAnsiTheme="minorHAnsi" w:cs="Cambria"/>
        </w:rPr>
      </w:pPr>
      <w:r w:rsidRPr="00B3065A">
        <w:rPr>
          <w:rFonts w:asciiTheme="minorHAnsi" w:eastAsia="Cambria" w:hAnsiTheme="minorHAnsi" w:cs="Cambria"/>
        </w:rPr>
        <w:t xml:space="preserve">Prepare </w:t>
      </w:r>
      <w:r w:rsidRPr="00B3065A">
        <w:rPr>
          <w:rFonts w:asciiTheme="minorHAnsi" w:eastAsia="Cambria" w:hAnsiTheme="minorHAnsi" w:cs="Cambria"/>
          <w:b/>
        </w:rPr>
        <w:t>15-20 minutes</w:t>
      </w:r>
      <w:r w:rsidRPr="00B3065A">
        <w:rPr>
          <w:rFonts w:asciiTheme="minorHAnsi" w:eastAsia="Cambria" w:hAnsiTheme="minorHAnsi" w:cs="Cambria"/>
        </w:rPr>
        <w:t xml:space="preserve"> worth of introductory remarks for your Advanced Seminar. Brevity is appreciated. Use of Powerpoint is typical. The purpose of this meeting is for the committee is to review your findings and presentation of your findings; suggestions may be made regarding formatting of tables, addition or deletion of tables, and/or new or modified data analysis. </w:t>
      </w:r>
    </w:p>
    <w:p w14:paraId="000005C7" w14:textId="77777777" w:rsidR="00CD3527" w:rsidRPr="00B3065A" w:rsidRDefault="00CD3527">
      <w:pPr>
        <w:rPr>
          <w:rFonts w:asciiTheme="minorHAnsi" w:eastAsia="Cambria" w:hAnsiTheme="minorHAnsi" w:cs="Cambria"/>
        </w:rPr>
      </w:pPr>
    </w:p>
    <w:p w14:paraId="000005C8" w14:textId="77777777" w:rsidR="00CD3527" w:rsidRPr="00B3065A" w:rsidRDefault="007F4AED">
      <w:pPr>
        <w:numPr>
          <w:ilvl w:val="0"/>
          <w:numId w:val="51"/>
        </w:numPr>
        <w:rPr>
          <w:rFonts w:asciiTheme="minorHAnsi" w:eastAsia="Cambria" w:hAnsiTheme="minorHAnsi" w:cs="Cambria"/>
        </w:rPr>
      </w:pPr>
      <w:r w:rsidRPr="00B3065A">
        <w:rPr>
          <w:rFonts w:asciiTheme="minorHAnsi" w:eastAsia="Cambria" w:hAnsiTheme="minorHAnsi" w:cs="Cambria"/>
        </w:rPr>
        <w:t>Pass the Advanced Seminar and email ODS two PDF documents: a) the approved Advanced Seminar Report form; b) a copy of your tables.</w:t>
      </w:r>
    </w:p>
    <w:p w14:paraId="000005C9" w14:textId="77777777" w:rsidR="00CD3527" w:rsidRPr="00B3065A" w:rsidRDefault="00CD3527">
      <w:pPr>
        <w:rPr>
          <w:rFonts w:asciiTheme="minorHAnsi" w:eastAsia="Cambria" w:hAnsiTheme="minorHAnsi" w:cs="Cambria"/>
        </w:rPr>
      </w:pPr>
    </w:p>
    <w:p w14:paraId="000005CA" w14:textId="77777777" w:rsidR="00CD3527" w:rsidRPr="00B3065A" w:rsidRDefault="007F4AED">
      <w:pPr>
        <w:numPr>
          <w:ilvl w:val="0"/>
          <w:numId w:val="42"/>
        </w:numPr>
        <w:rPr>
          <w:rFonts w:asciiTheme="minorHAnsi" w:eastAsia="Cambria" w:hAnsiTheme="minorHAnsi" w:cs="Cambria"/>
        </w:rPr>
      </w:pPr>
      <w:r w:rsidRPr="00B3065A">
        <w:rPr>
          <w:rFonts w:asciiTheme="minorHAnsi" w:eastAsia="Cambria" w:hAnsiTheme="minorHAnsi" w:cs="Cambria"/>
        </w:rPr>
        <w:t>Revise tables as recommended by Committee; write Results and Discussion; complete and revise other sections of the dissertation that need attention.</w:t>
      </w:r>
    </w:p>
    <w:p w14:paraId="000005CB" w14:textId="77777777" w:rsidR="00CD3527" w:rsidRPr="00B3065A" w:rsidRDefault="00CD3527">
      <w:pPr>
        <w:rPr>
          <w:rFonts w:asciiTheme="minorHAnsi" w:eastAsia="Cambria" w:hAnsiTheme="minorHAnsi" w:cs="Cambria"/>
        </w:rPr>
      </w:pPr>
    </w:p>
    <w:p w14:paraId="000005CC" w14:textId="77777777" w:rsidR="00CD3527" w:rsidRPr="00B3065A" w:rsidRDefault="007F4AED">
      <w:pPr>
        <w:numPr>
          <w:ilvl w:val="0"/>
          <w:numId w:val="44"/>
        </w:numPr>
        <w:rPr>
          <w:rFonts w:asciiTheme="minorHAnsi" w:eastAsia="Cambria" w:hAnsiTheme="minorHAnsi" w:cs="Cambria"/>
        </w:rPr>
      </w:pPr>
      <w:r w:rsidRPr="00B3065A">
        <w:rPr>
          <w:rFonts w:asciiTheme="minorHAnsi" w:eastAsia="Cambria" w:hAnsiTheme="minorHAnsi" w:cs="Cambria"/>
        </w:rPr>
        <w:t xml:space="preserve">Submit the </w:t>
      </w:r>
      <w:r w:rsidRPr="00B3065A">
        <w:rPr>
          <w:rFonts w:asciiTheme="minorHAnsi" w:eastAsia="Cambria" w:hAnsiTheme="minorHAnsi" w:cs="Cambria"/>
          <w:b/>
        </w:rPr>
        <w:t>entire</w:t>
      </w:r>
      <w:r w:rsidRPr="00B3065A">
        <w:rPr>
          <w:rFonts w:asciiTheme="minorHAnsi" w:eastAsia="Cambria" w:hAnsiTheme="minorHAnsi" w:cs="Cambria"/>
        </w:rPr>
        <w:t xml:space="preserve"> Dissertation to the Dissertation Advisor and Second Reader (and Chair if requested).</w:t>
      </w:r>
    </w:p>
    <w:p w14:paraId="000005CD" w14:textId="77777777" w:rsidR="00CD3527" w:rsidRPr="00B3065A" w:rsidRDefault="00CD3527">
      <w:pPr>
        <w:rPr>
          <w:rFonts w:asciiTheme="minorHAnsi" w:eastAsia="Cambria" w:hAnsiTheme="minorHAnsi" w:cs="Cambria"/>
        </w:rPr>
      </w:pPr>
    </w:p>
    <w:p w14:paraId="000005CE" w14:textId="77777777" w:rsidR="00CD3527" w:rsidRPr="00B3065A" w:rsidRDefault="007F4AED">
      <w:pPr>
        <w:numPr>
          <w:ilvl w:val="0"/>
          <w:numId w:val="43"/>
        </w:numPr>
        <w:rPr>
          <w:rFonts w:asciiTheme="minorHAnsi" w:eastAsia="Cambria" w:hAnsiTheme="minorHAnsi" w:cs="Cambria"/>
          <w:b/>
        </w:rPr>
      </w:pPr>
      <w:r w:rsidRPr="00B3065A">
        <w:rPr>
          <w:rFonts w:asciiTheme="minorHAnsi" w:eastAsia="Cambria" w:hAnsiTheme="minorHAnsi" w:cs="Cambria"/>
        </w:rPr>
        <w:t xml:space="preserve">Revise as needed.  You should also consult the Manual of Style from ODS </w:t>
      </w:r>
      <w:hyperlink r:id="rId85">
        <w:r w:rsidRPr="00B3065A">
          <w:rPr>
            <w:rFonts w:asciiTheme="minorHAnsi" w:eastAsia="Cambria" w:hAnsiTheme="minorHAnsi" w:cs="Cambria"/>
            <w:b/>
            <w:color w:val="0000FF"/>
            <w:u w:val="single"/>
          </w:rPr>
          <w:t>https://www.tc.columbia.edu/doctoral/forms/phd-students-forms/</w:t>
        </w:r>
      </w:hyperlink>
      <w:r w:rsidRPr="00B3065A">
        <w:rPr>
          <w:rFonts w:asciiTheme="minorHAnsi" w:eastAsia="Cambria" w:hAnsiTheme="minorHAnsi" w:cs="Cambria"/>
          <w:b/>
        </w:rPr>
        <w:t xml:space="preserve">. </w:t>
      </w:r>
      <w:r w:rsidRPr="00B3065A">
        <w:rPr>
          <w:rFonts w:asciiTheme="minorHAnsi" w:eastAsia="Cambria" w:hAnsiTheme="minorHAnsi" w:cs="Cambria"/>
        </w:rPr>
        <w:t xml:space="preserve">The Graduate School of Arts and Sciences requires all PhD students to follow specific formatting guidelines. A word document has been developed by GSAS to assist students. </w:t>
      </w:r>
      <w:hyperlink r:id="rId86">
        <w:r w:rsidRPr="00B3065A">
          <w:rPr>
            <w:rFonts w:asciiTheme="minorHAnsi" w:eastAsia="Cambria" w:hAnsiTheme="minorHAnsi" w:cs="Cambria"/>
            <w:b/>
            <w:color w:val="0000FF"/>
            <w:u w:val="single"/>
          </w:rPr>
          <w:t>https://www.tc.columbia.edu/form-library/office-of-doctoral-studies/teachers-college-doctoral-manual-of-style/files/GSAS-Dissertation-Main-Template-9-19-2019.docx</w:t>
        </w:r>
      </w:hyperlink>
    </w:p>
    <w:p w14:paraId="000005CF" w14:textId="77777777" w:rsidR="00CD3527" w:rsidRPr="00B3065A" w:rsidRDefault="00CD3527">
      <w:pPr>
        <w:rPr>
          <w:rFonts w:asciiTheme="minorHAnsi" w:eastAsia="Cambria" w:hAnsiTheme="minorHAnsi" w:cs="Cambria"/>
        </w:rPr>
      </w:pPr>
    </w:p>
    <w:p w14:paraId="000005D0" w14:textId="77777777" w:rsidR="00CD3527" w:rsidRDefault="007F4AED">
      <w:pPr>
        <w:numPr>
          <w:ilvl w:val="0"/>
          <w:numId w:val="41"/>
        </w:numPr>
        <w:rPr>
          <w:rFonts w:ascii="Cambria" w:eastAsia="Cambria" w:hAnsi="Cambria" w:cs="Cambria"/>
          <w:sz w:val="22"/>
          <w:szCs w:val="22"/>
        </w:rPr>
      </w:pPr>
      <w:r w:rsidRPr="00B3065A">
        <w:rPr>
          <w:rFonts w:asciiTheme="minorHAnsi" w:eastAsia="Cambria" w:hAnsiTheme="minorHAnsi" w:cs="Cambria"/>
        </w:rPr>
        <w:t xml:space="preserve">With approval from your Dissertation Advisor, fill out page 4 of the "PhD Defense Application and Intention to Defend" Form </w:t>
      </w:r>
      <w:r w:rsidRPr="00B3065A">
        <w:rPr>
          <w:rFonts w:asciiTheme="minorHAnsi" w:eastAsia="Cambria" w:hAnsiTheme="minorHAnsi" w:cs="Cambria"/>
          <w:b/>
        </w:rPr>
        <w:t>(</w:t>
      </w:r>
      <w:hyperlink r:id="rId87">
        <w:r w:rsidRPr="00B3065A">
          <w:rPr>
            <w:rFonts w:asciiTheme="minorHAnsi" w:eastAsia="Cambria" w:hAnsiTheme="minorHAnsi" w:cs="Cambria"/>
            <w:b/>
            <w:color w:val="0000FF"/>
            <w:u w:val="single"/>
          </w:rPr>
          <w:t>https://www.tc.columbia.edu/doctoral/forms/phd-students-forms/</w:t>
        </w:r>
      </w:hyperlink>
      <w:r w:rsidRPr="00B3065A">
        <w:rPr>
          <w:rFonts w:asciiTheme="minorHAnsi" w:eastAsia="Cambria" w:hAnsiTheme="minorHAnsi" w:cs="Cambria"/>
        </w:rPr>
        <w:t xml:space="preserve">) by semester deadline (see academic calendar on TC website). </w:t>
      </w:r>
      <w:r w:rsidRPr="00B3065A">
        <w:rPr>
          <w:rFonts w:asciiTheme="minorHAnsi" w:eastAsia="Cambria" w:hAnsiTheme="minorHAnsi" w:cs="Cambria"/>
          <w:color w:val="222222"/>
          <w:highlight w:val="white"/>
        </w:rPr>
        <w:t>Note that submitting the intention form does not obligate you to defend; it merely states your intention to do so. The form does not require your Dissertation Advisor’s</w:t>
      </w:r>
      <w:r>
        <w:rPr>
          <w:rFonts w:ascii="Cambria" w:eastAsia="Cambria" w:hAnsi="Cambria" w:cs="Cambria"/>
          <w:color w:val="222222"/>
          <w:sz w:val="22"/>
          <w:szCs w:val="22"/>
          <w:highlight w:val="white"/>
        </w:rPr>
        <w:t xml:space="preserve"> signature nor the inclusion of the names of your entire dissertation committee. </w:t>
      </w:r>
    </w:p>
    <w:p w14:paraId="000005D1" w14:textId="77777777" w:rsidR="00CD3527" w:rsidRDefault="00CD3527">
      <w:pPr>
        <w:rPr>
          <w:rFonts w:ascii="Cambria" w:eastAsia="Cambria" w:hAnsi="Cambria" w:cs="Cambria"/>
          <w:sz w:val="22"/>
          <w:szCs w:val="22"/>
        </w:rPr>
      </w:pPr>
    </w:p>
    <w:p w14:paraId="000005D2" w14:textId="77777777" w:rsidR="00CD3527" w:rsidRPr="00B3065A" w:rsidRDefault="007F4AED">
      <w:pPr>
        <w:ind w:firstLine="630"/>
        <w:rPr>
          <w:rFonts w:asciiTheme="minorHAnsi" w:eastAsia="Cambria" w:hAnsiTheme="minorHAnsi" w:cs="Cambria"/>
          <w:b/>
        </w:rPr>
      </w:pPr>
      <w:r>
        <w:rPr>
          <w:rFonts w:ascii="Cambria" w:eastAsia="Cambria" w:hAnsi="Cambria" w:cs="Cambria"/>
          <w:b/>
          <w:sz w:val="22"/>
          <w:szCs w:val="22"/>
        </w:rPr>
        <w:tab/>
      </w:r>
      <w:r w:rsidRPr="00B3065A">
        <w:rPr>
          <w:rFonts w:asciiTheme="minorHAnsi" w:eastAsia="Cambria" w:hAnsiTheme="minorHAnsi" w:cs="Cambria"/>
          <w:b/>
        </w:rPr>
        <w:t>To defend the dissertation, you must register in Ph.D. Oral Defense</w:t>
      </w:r>
    </w:p>
    <w:p w14:paraId="000005D3" w14:textId="77777777" w:rsidR="00CD3527" w:rsidRPr="00B3065A" w:rsidRDefault="007F4AED">
      <w:pPr>
        <w:rPr>
          <w:rFonts w:asciiTheme="minorHAnsi" w:eastAsia="Cambria" w:hAnsiTheme="minorHAnsi" w:cs="Cambria"/>
          <w:b/>
        </w:rPr>
      </w:pPr>
      <w:r w:rsidRPr="00B3065A">
        <w:rPr>
          <w:rFonts w:asciiTheme="minorHAnsi" w:eastAsia="Cambria" w:hAnsiTheme="minorHAnsi" w:cs="Cambria"/>
          <w:b/>
        </w:rPr>
        <w:t xml:space="preserve">           </w:t>
      </w:r>
      <w:r w:rsidRPr="00B3065A">
        <w:rPr>
          <w:rFonts w:asciiTheme="minorHAnsi" w:eastAsia="Cambria" w:hAnsiTheme="minorHAnsi" w:cs="Cambria"/>
          <w:b/>
        </w:rPr>
        <w:tab/>
        <w:t xml:space="preserve">(TI8900) for that semester.  </w:t>
      </w:r>
      <w:r w:rsidRPr="00B3065A">
        <w:rPr>
          <w:rFonts w:asciiTheme="minorHAnsi" w:eastAsia="Cambria" w:hAnsiTheme="minorHAnsi" w:cs="Cambria"/>
          <w:b/>
          <w:i/>
        </w:rPr>
        <w:t xml:space="preserve">There are no exceptions. </w:t>
      </w:r>
      <w:r w:rsidRPr="00B3065A">
        <w:rPr>
          <w:rFonts w:asciiTheme="minorHAnsi" w:eastAsia="Cambria" w:hAnsiTheme="minorHAnsi" w:cs="Cambria"/>
          <w:b/>
        </w:rPr>
        <w:t xml:space="preserve"> Please note that</w:t>
      </w:r>
    </w:p>
    <w:p w14:paraId="000005D4" w14:textId="77777777" w:rsidR="00CD3527" w:rsidRPr="00B3065A" w:rsidRDefault="007F4AED">
      <w:pPr>
        <w:rPr>
          <w:rFonts w:asciiTheme="minorHAnsi" w:eastAsia="Cambria" w:hAnsiTheme="minorHAnsi" w:cs="Cambria"/>
          <w:b/>
        </w:rPr>
      </w:pPr>
      <w:r w:rsidRPr="00B3065A">
        <w:rPr>
          <w:rFonts w:asciiTheme="minorHAnsi" w:eastAsia="Cambria" w:hAnsiTheme="minorHAnsi" w:cs="Cambria"/>
          <w:b/>
        </w:rPr>
        <w:t xml:space="preserve">           </w:t>
      </w:r>
      <w:r w:rsidRPr="00B3065A">
        <w:rPr>
          <w:rFonts w:asciiTheme="minorHAnsi" w:eastAsia="Cambria" w:hAnsiTheme="minorHAnsi" w:cs="Cambria"/>
          <w:b/>
        </w:rPr>
        <w:tab/>
        <w:t>TI8900 includes the TC dissertation advisement fee; you do not have to</w:t>
      </w:r>
    </w:p>
    <w:p w14:paraId="000005D5" w14:textId="77777777" w:rsidR="00CD3527" w:rsidRPr="00B3065A" w:rsidRDefault="007F4AED">
      <w:pPr>
        <w:rPr>
          <w:rFonts w:asciiTheme="minorHAnsi" w:eastAsia="Cambria" w:hAnsiTheme="minorHAnsi" w:cs="Cambria"/>
          <w:b/>
        </w:rPr>
      </w:pPr>
      <w:r w:rsidRPr="00B3065A">
        <w:rPr>
          <w:rFonts w:asciiTheme="minorHAnsi" w:eastAsia="Cambria" w:hAnsiTheme="minorHAnsi" w:cs="Cambria"/>
          <w:b/>
        </w:rPr>
        <w:t xml:space="preserve">           </w:t>
      </w:r>
      <w:r w:rsidRPr="00B3065A">
        <w:rPr>
          <w:rFonts w:asciiTheme="minorHAnsi" w:eastAsia="Cambria" w:hAnsiTheme="minorHAnsi" w:cs="Cambria"/>
          <w:b/>
        </w:rPr>
        <w:tab/>
        <w:t>register for both TI8900 and CCPX8900 in the semester in which you</w:t>
      </w:r>
    </w:p>
    <w:p w14:paraId="000005D6" w14:textId="77777777" w:rsidR="00CD3527" w:rsidRPr="00B3065A" w:rsidRDefault="007F4AED">
      <w:pPr>
        <w:ind w:left="720"/>
        <w:rPr>
          <w:rFonts w:asciiTheme="minorHAnsi" w:eastAsia="Cambria" w:hAnsiTheme="minorHAnsi" w:cs="Cambria"/>
          <w:b/>
        </w:rPr>
      </w:pPr>
      <w:r w:rsidRPr="00B3065A">
        <w:rPr>
          <w:rFonts w:asciiTheme="minorHAnsi" w:eastAsia="Cambria" w:hAnsiTheme="minorHAnsi" w:cs="Cambria"/>
          <w:b/>
        </w:rPr>
        <w:t>defend the dissertation. Also, if you are on internship, you do not need to sign up for CCPX 8900 in addition to CCPX 6430 (Internship) but, if you are defending in a given semester while on internship, you will need to register for TI8900.</w:t>
      </w:r>
    </w:p>
    <w:p w14:paraId="000005D7" w14:textId="77777777" w:rsidR="00CD3527" w:rsidRPr="00B3065A" w:rsidRDefault="007F4AED">
      <w:pPr>
        <w:rPr>
          <w:rFonts w:asciiTheme="minorHAnsi" w:eastAsia="Cambria" w:hAnsiTheme="minorHAnsi" w:cs="Cambria"/>
          <w:b/>
        </w:rPr>
      </w:pPr>
      <w:r w:rsidRPr="00B3065A">
        <w:rPr>
          <w:rFonts w:asciiTheme="minorHAnsi" w:eastAsia="Cambria" w:hAnsiTheme="minorHAnsi" w:cs="Cambria"/>
          <w:b/>
        </w:rPr>
        <w:t xml:space="preserve"> </w:t>
      </w:r>
    </w:p>
    <w:p w14:paraId="000005D8" w14:textId="77777777" w:rsidR="00CD3527" w:rsidRPr="00B3065A" w:rsidRDefault="007F4AED">
      <w:pPr>
        <w:ind w:left="630"/>
        <w:rPr>
          <w:rFonts w:asciiTheme="minorHAnsi" w:eastAsia="Cambria" w:hAnsiTheme="minorHAnsi" w:cs="Cambria"/>
        </w:rPr>
      </w:pPr>
      <w:r w:rsidRPr="00B3065A">
        <w:rPr>
          <w:rFonts w:asciiTheme="minorHAnsi" w:eastAsia="Cambria" w:hAnsiTheme="minorHAnsi" w:cs="Cambria"/>
          <w:color w:val="222222"/>
          <w:highlight w:val="white"/>
        </w:rPr>
        <w:t xml:space="preserve">The Provost has set up doctoral scholarships for students who have nearly completed their program to offset these fees. Here is a link to the Dean's Grant for Student Research, The Research Dissertation Fellowship, The Doctoral Dissertation Grant, and Grant in Aid: </w:t>
      </w:r>
      <w:hyperlink r:id="rId88">
        <w:r w:rsidRPr="00B3065A">
          <w:rPr>
            <w:rFonts w:asciiTheme="minorHAnsi" w:eastAsia="Cambria" w:hAnsiTheme="minorHAnsi" w:cs="Cambria"/>
            <w:b/>
            <w:color w:val="1155CC"/>
            <w:highlight w:val="white"/>
            <w:u w:val="single"/>
          </w:rPr>
          <w:t>http://www.tc.columbia.edu/admissions/financial-aid/financial-aid-sources/fellowships-and-grants/</w:t>
        </w:r>
      </w:hyperlink>
    </w:p>
    <w:p w14:paraId="000005D9" w14:textId="77777777" w:rsidR="00CD3527" w:rsidRPr="00B3065A" w:rsidRDefault="00CD3527">
      <w:pPr>
        <w:rPr>
          <w:rFonts w:asciiTheme="minorHAnsi" w:eastAsia="Cambria" w:hAnsiTheme="minorHAnsi" w:cs="Cambria"/>
        </w:rPr>
      </w:pPr>
    </w:p>
    <w:p w14:paraId="000005DA" w14:textId="77777777" w:rsidR="00CD3527" w:rsidRPr="00B3065A" w:rsidRDefault="007F4AED">
      <w:pPr>
        <w:numPr>
          <w:ilvl w:val="0"/>
          <w:numId w:val="46"/>
        </w:numPr>
        <w:rPr>
          <w:rFonts w:asciiTheme="minorHAnsi" w:eastAsia="Cambria" w:hAnsiTheme="minorHAnsi" w:cs="Cambria"/>
        </w:rPr>
      </w:pPr>
      <w:r w:rsidRPr="00B3065A">
        <w:rPr>
          <w:rFonts w:asciiTheme="minorHAnsi" w:eastAsia="Cambria" w:hAnsiTheme="minorHAnsi" w:cs="Cambria"/>
        </w:rPr>
        <w:t xml:space="preserve">With your Dissertation Advisor’s help, find two additional readers for Orals—what ODS terms “fourth and fifth examiners” (see attached chart). Typically, one is from TC </w:t>
      </w:r>
      <w:r w:rsidRPr="00B3065A">
        <w:rPr>
          <w:rFonts w:asciiTheme="minorHAnsi" w:eastAsia="Cambria" w:hAnsiTheme="minorHAnsi" w:cs="Cambria"/>
          <w:b/>
        </w:rPr>
        <w:t>and must be outside your program;</w:t>
      </w:r>
      <w:r w:rsidRPr="00B3065A">
        <w:rPr>
          <w:rFonts w:asciiTheme="minorHAnsi" w:eastAsia="Cambria" w:hAnsiTheme="minorHAnsi" w:cs="Cambria"/>
        </w:rPr>
        <w:t xml:space="preserve"> the other </w:t>
      </w:r>
      <w:r w:rsidRPr="00B3065A">
        <w:rPr>
          <w:rFonts w:asciiTheme="minorHAnsi" w:eastAsia="Cambria" w:hAnsiTheme="minorHAnsi" w:cs="Cambria"/>
          <w:b/>
        </w:rPr>
        <w:t>must be</w:t>
      </w:r>
      <w:r w:rsidRPr="00B3065A">
        <w:rPr>
          <w:rFonts w:asciiTheme="minorHAnsi" w:eastAsia="Cambria" w:hAnsiTheme="minorHAnsi" w:cs="Cambria"/>
        </w:rPr>
        <w:t xml:space="preserve"> from outside TC but can be within the Columbia University system. While this (above) is the typical arrangement, one of the examiners can be from another university—if you already have three GSAS approved faculty on your committee. Check with ODS about other rules/paperwork for this. Emeritus faculty may not serve on a candidate’s committee. All exceptions may be petitioned in writing by the Dissertation Advisor to the Manager of the Office of Doctoral Studies who will bring it to the Dean of GSAS for review. </w:t>
      </w:r>
    </w:p>
    <w:p w14:paraId="000005DB" w14:textId="77777777" w:rsidR="00CD3527" w:rsidRPr="00B3065A" w:rsidRDefault="00CD3527">
      <w:pPr>
        <w:rPr>
          <w:rFonts w:asciiTheme="minorHAnsi" w:eastAsia="Cambria" w:hAnsiTheme="minorHAnsi" w:cs="Cambria"/>
        </w:rPr>
      </w:pPr>
    </w:p>
    <w:p w14:paraId="000005DC" w14:textId="77777777" w:rsidR="00CD3527" w:rsidRPr="00B3065A" w:rsidRDefault="00CD3527">
      <w:pPr>
        <w:ind w:left="630"/>
        <w:rPr>
          <w:rFonts w:asciiTheme="minorHAnsi" w:eastAsia="Cambria" w:hAnsiTheme="minorHAnsi" w:cs="Cambria"/>
        </w:rPr>
      </w:pPr>
    </w:p>
    <w:p w14:paraId="000005DD" w14:textId="77777777" w:rsidR="00CD3527" w:rsidRPr="00B3065A" w:rsidRDefault="007F4AED">
      <w:pPr>
        <w:ind w:left="630"/>
        <w:rPr>
          <w:rFonts w:asciiTheme="minorHAnsi" w:eastAsia="Cambria" w:hAnsiTheme="minorHAnsi" w:cs="Cambria"/>
        </w:rPr>
      </w:pPr>
      <w:r w:rsidRPr="00B3065A">
        <w:rPr>
          <w:rFonts w:asciiTheme="minorHAnsi" w:eastAsia="Cambria" w:hAnsiTheme="minorHAnsi" w:cs="Cambria"/>
        </w:rPr>
        <w:lastRenderedPageBreak/>
        <w:t xml:space="preserve">See attached chart for composition of your defense committee: again, note that there must be at least 3 members of this committee who are GSAS approved. Note, too, this bit of potential confusion:  what ODS (on this chart) terms “third examiner” is what has been referred to earlier in this document as “Second Reader” (for the Proposal Hearing and Advanced Seminar); and what ODS (on this chart) terms “Defense Moderator” is what has been referred to earlier here as “Third Reader” (on the Proposal Hearing and Advanced Seminar). </w:t>
      </w:r>
    </w:p>
    <w:p w14:paraId="000005DE" w14:textId="77777777" w:rsidR="00CD3527" w:rsidRPr="00B3065A" w:rsidRDefault="00CD3527">
      <w:pPr>
        <w:rPr>
          <w:rFonts w:asciiTheme="minorHAnsi" w:eastAsia="Cambria" w:hAnsiTheme="minorHAnsi" w:cs="Cambria"/>
        </w:rPr>
      </w:pPr>
    </w:p>
    <w:p w14:paraId="000005DF" w14:textId="77777777" w:rsidR="00CD3527" w:rsidRPr="00B3065A" w:rsidRDefault="007F4AED">
      <w:pPr>
        <w:numPr>
          <w:ilvl w:val="0"/>
          <w:numId w:val="45"/>
        </w:numPr>
        <w:rPr>
          <w:rFonts w:asciiTheme="minorHAnsi" w:eastAsia="Cambria" w:hAnsiTheme="minorHAnsi" w:cs="Cambria"/>
        </w:rPr>
      </w:pPr>
      <w:r w:rsidRPr="00B3065A">
        <w:rPr>
          <w:rFonts w:asciiTheme="minorHAnsi" w:eastAsia="Cambria" w:hAnsiTheme="minorHAnsi" w:cs="Cambria"/>
        </w:rPr>
        <w:t>While waiting for Orals: Provide feedback (summary or results) to study participants; some faculty will also request that you begin writing a draft of the published article that will emerge from the dissertation.</w:t>
      </w:r>
    </w:p>
    <w:p w14:paraId="000005E0" w14:textId="77777777" w:rsidR="00CD3527" w:rsidRPr="00B3065A" w:rsidRDefault="00CD3527">
      <w:pPr>
        <w:rPr>
          <w:rFonts w:asciiTheme="minorHAnsi" w:eastAsia="Cambria" w:hAnsiTheme="minorHAnsi" w:cs="Cambria"/>
          <w:b/>
        </w:rPr>
      </w:pPr>
    </w:p>
    <w:p w14:paraId="000005E1" w14:textId="77777777" w:rsidR="00CD3527" w:rsidRPr="00B3065A" w:rsidRDefault="007F4AED">
      <w:pPr>
        <w:numPr>
          <w:ilvl w:val="0"/>
          <w:numId w:val="26"/>
        </w:numPr>
        <w:shd w:val="clear" w:color="auto" w:fill="FFFFFF"/>
        <w:rPr>
          <w:rFonts w:asciiTheme="minorHAnsi" w:eastAsia="Cambria" w:hAnsiTheme="minorHAnsi" w:cs="Cambria"/>
          <w:color w:val="222222"/>
        </w:rPr>
      </w:pPr>
      <w:r w:rsidRPr="00B3065A">
        <w:rPr>
          <w:rFonts w:asciiTheme="minorHAnsi" w:eastAsia="Cambria" w:hAnsiTheme="minorHAnsi" w:cs="Cambria"/>
        </w:rPr>
        <w:t xml:space="preserve">Submit the defense application (page 5 of the PhD Defense Application and Intention to Defend file) with the signature of your Dissertation Advisor to ODS as early as possible and no later than three weeks before the final defense date. </w:t>
      </w:r>
      <w:r w:rsidRPr="00B3065A">
        <w:rPr>
          <w:rFonts w:asciiTheme="minorHAnsi" w:eastAsia="Cambria" w:hAnsiTheme="minorHAnsi" w:cs="Cambria"/>
          <w:b/>
          <w:color w:val="222222"/>
        </w:rPr>
        <w:t>The Graduate School of Arts and Sciences will reject late defense applications and require a defense to be rescheduled if the application is received less than three weeks prior to the defense date.</w:t>
      </w:r>
      <w:r w:rsidRPr="00B3065A">
        <w:rPr>
          <w:rFonts w:asciiTheme="minorHAnsi" w:eastAsia="Cambria" w:hAnsiTheme="minorHAnsi" w:cs="Cambria"/>
          <w:color w:val="222222"/>
        </w:rPr>
        <w:t xml:space="preserve"> The application must be typed and all information (including committee member contact information) must be included. It is also your responsibility to arrange a time (a two-hour block) and a room for your defense. The latter can be arranged either through Room Assignments or your Program or Department secretary. </w:t>
      </w:r>
    </w:p>
    <w:p w14:paraId="000005E2" w14:textId="77777777" w:rsidR="00CD3527" w:rsidRPr="00B3065A" w:rsidRDefault="00CD3527">
      <w:pPr>
        <w:shd w:val="clear" w:color="auto" w:fill="FFFFFF"/>
        <w:ind w:left="270"/>
        <w:rPr>
          <w:rFonts w:asciiTheme="minorHAnsi" w:eastAsia="Cambria" w:hAnsiTheme="minorHAnsi" w:cs="Cambria"/>
          <w:b/>
        </w:rPr>
      </w:pPr>
    </w:p>
    <w:p w14:paraId="000005E3" w14:textId="77777777" w:rsidR="00CD3527" w:rsidRPr="00B3065A" w:rsidRDefault="007F4AED">
      <w:pPr>
        <w:numPr>
          <w:ilvl w:val="0"/>
          <w:numId w:val="26"/>
        </w:numPr>
        <w:shd w:val="clear" w:color="auto" w:fill="FFFFFF"/>
        <w:rPr>
          <w:rFonts w:asciiTheme="minorHAnsi" w:eastAsia="Cambria" w:hAnsiTheme="minorHAnsi" w:cs="Cambria"/>
          <w:color w:val="222222"/>
        </w:rPr>
      </w:pPr>
      <w:r w:rsidRPr="00B3065A">
        <w:rPr>
          <w:rFonts w:asciiTheme="minorHAnsi" w:eastAsia="Cambria" w:hAnsiTheme="minorHAnsi" w:cs="Cambria"/>
          <w:color w:val="222222"/>
        </w:rPr>
        <w:t>Remote Dissertations are no longer approved by the Graduate School of Arts and Sciences. However, up to two members of your committee may join by video conference if they are unable to attend in person.</w:t>
      </w:r>
    </w:p>
    <w:p w14:paraId="000005E4" w14:textId="77777777" w:rsidR="00CD3527" w:rsidRPr="00B3065A" w:rsidRDefault="00CD3527">
      <w:pPr>
        <w:rPr>
          <w:rFonts w:asciiTheme="minorHAnsi" w:eastAsia="Cambria" w:hAnsiTheme="minorHAnsi" w:cs="Cambria"/>
        </w:rPr>
      </w:pPr>
    </w:p>
    <w:p w14:paraId="000005E5" w14:textId="77777777" w:rsidR="00CD3527" w:rsidRPr="00B3065A" w:rsidRDefault="007F4AED">
      <w:pPr>
        <w:numPr>
          <w:ilvl w:val="0"/>
          <w:numId w:val="29"/>
        </w:numPr>
        <w:rPr>
          <w:rFonts w:asciiTheme="minorHAnsi" w:eastAsia="Cambria" w:hAnsiTheme="minorHAnsi" w:cs="Cambria"/>
        </w:rPr>
      </w:pPr>
      <w:r w:rsidRPr="00B3065A">
        <w:rPr>
          <w:rFonts w:asciiTheme="minorHAnsi" w:eastAsia="Cambria" w:hAnsiTheme="minorHAnsi" w:cs="Cambria"/>
        </w:rPr>
        <w:t xml:space="preserve">Send all five committee members a copy of your complete dissertation </w:t>
      </w:r>
      <w:r w:rsidRPr="00B3065A">
        <w:rPr>
          <w:rFonts w:asciiTheme="minorHAnsi" w:eastAsia="Cambria" w:hAnsiTheme="minorHAnsi" w:cs="Cambria"/>
          <w:b/>
        </w:rPr>
        <w:t>at least four weeks in advance of the defense</w:t>
      </w:r>
      <w:r w:rsidRPr="00B3065A">
        <w:rPr>
          <w:rFonts w:asciiTheme="minorHAnsi" w:eastAsia="Cambria" w:hAnsiTheme="minorHAnsi" w:cs="Cambria"/>
        </w:rPr>
        <w:t xml:space="preserve">. Check as to whether each wants it in PDF, Word, or hard-copy format. </w:t>
      </w:r>
    </w:p>
    <w:p w14:paraId="000005E6" w14:textId="77777777" w:rsidR="00CD3527" w:rsidRPr="00B3065A" w:rsidRDefault="00CD3527">
      <w:pPr>
        <w:rPr>
          <w:rFonts w:asciiTheme="minorHAnsi" w:eastAsia="Cambria" w:hAnsiTheme="minorHAnsi" w:cs="Cambria"/>
        </w:rPr>
      </w:pPr>
    </w:p>
    <w:p w14:paraId="000005E7" w14:textId="77777777" w:rsidR="00CD3527" w:rsidRPr="00B3065A" w:rsidRDefault="007F4AED">
      <w:pPr>
        <w:numPr>
          <w:ilvl w:val="0"/>
          <w:numId w:val="28"/>
        </w:numPr>
        <w:rPr>
          <w:rFonts w:asciiTheme="minorHAnsi" w:eastAsia="Cambria" w:hAnsiTheme="minorHAnsi" w:cs="Cambria"/>
        </w:rPr>
      </w:pPr>
      <w:r w:rsidRPr="00B3065A">
        <w:rPr>
          <w:rFonts w:asciiTheme="minorHAnsi" w:eastAsia="Cambria" w:hAnsiTheme="minorHAnsi" w:cs="Cambria"/>
        </w:rPr>
        <w:t xml:space="preserve">Prepare </w:t>
      </w:r>
      <w:r w:rsidRPr="00B3065A">
        <w:rPr>
          <w:rFonts w:asciiTheme="minorHAnsi" w:eastAsia="Cambria" w:hAnsiTheme="minorHAnsi" w:cs="Cambria"/>
          <w:b/>
        </w:rPr>
        <w:t>20-25 minutes</w:t>
      </w:r>
      <w:r w:rsidRPr="00B3065A">
        <w:rPr>
          <w:rFonts w:asciiTheme="minorHAnsi" w:eastAsia="Cambria" w:hAnsiTheme="minorHAnsi" w:cs="Cambria"/>
        </w:rPr>
        <w:t xml:space="preserve"> of introductory remarks for your orals. Again, Powerpoint is typical. </w:t>
      </w:r>
    </w:p>
    <w:p w14:paraId="000005E8" w14:textId="77777777" w:rsidR="00CD3527" w:rsidRPr="00B3065A" w:rsidRDefault="00CD3527">
      <w:pPr>
        <w:rPr>
          <w:rFonts w:asciiTheme="minorHAnsi" w:eastAsia="Cambria" w:hAnsiTheme="minorHAnsi" w:cs="Cambria"/>
        </w:rPr>
      </w:pPr>
    </w:p>
    <w:p w14:paraId="000005E9" w14:textId="77777777" w:rsidR="00CD3527" w:rsidRPr="00B3065A" w:rsidRDefault="007F4AED">
      <w:pPr>
        <w:numPr>
          <w:ilvl w:val="0"/>
          <w:numId w:val="31"/>
        </w:numPr>
        <w:rPr>
          <w:rFonts w:asciiTheme="minorHAnsi" w:eastAsia="Cambria" w:hAnsiTheme="minorHAnsi" w:cs="Cambria"/>
        </w:rPr>
      </w:pPr>
      <w:r w:rsidRPr="00B3065A">
        <w:rPr>
          <w:rFonts w:asciiTheme="minorHAnsi" w:eastAsia="Cambria" w:hAnsiTheme="minorHAnsi" w:cs="Cambria"/>
        </w:rPr>
        <w:t xml:space="preserve">Pass Orals. (Remember that there will almost inevitably be some revisions required of you by your Committee). </w:t>
      </w:r>
    </w:p>
    <w:p w14:paraId="000005EA" w14:textId="77777777" w:rsidR="00CD3527" w:rsidRPr="00B3065A" w:rsidRDefault="00CD3527">
      <w:pPr>
        <w:rPr>
          <w:rFonts w:asciiTheme="minorHAnsi" w:eastAsia="Cambria" w:hAnsiTheme="minorHAnsi" w:cs="Cambria"/>
        </w:rPr>
      </w:pPr>
    </w:p>
    <w:p w14:paraId="000005EB" w14:textId="77777777" w:rsidR="00CD3527" w:rsidRPr="00B3065A" w:rsidRDefault="007F4AED">
      <w:pPr>
        <w:numPr>
          <w:ilvl w:val="0"/>
          <w:numId w:val="30"/>
        </w:numPr>
        <w:rPr>
          <w:rFonts w:asciiTheme="minorHAnsi" w:eastAsia="Cambria" w:hAnsiTheme="minorHAnsi" w:cs="Cambria"/>
        </w:rPr>
      </w:pPr>
      <w:r w:rsidRPr="00B3065A">
        <w:rPr>
          <w:rFonts w:asciiTheme="minorHAnsi" w:eastAsia="Cambria" w:hAnsiTheme="minorHAnsi" w:cs="Cambria"/>
        </w:rPr>
        <w:t>Revise Dissertation in accord with the suggestions at the Orals. Have your Dissertation Advisor approve these revisions.</w:t>
      </w:r>
    </w:p>
    <w:p w14:paraId="000005EC" w14:textId="77777777" w:rsidR="00CD3527" w:rsidRPr="00B3065A" w:rsidRDefault="00CD3527">
      <w:pPr>
        <w:rPr>
          <w:rFonts w:asciiTheme="minorHAnsi" w:eastAsia="Cambria" w:hAnsiTheme="minorHAnsi" w:cs="Cambria"/>
        </w:rPr>
      </w:pPr>
    </w:p>
    <w:p w14:paraId="000005ED" w14:textId="77777777" w:rsidR="00CD3527" w:rsidRPr="00B3065A" w:rsidRDefault="007F4AED">
      <w:pPr>
        <w:numPr>
          <w:ilvl w:val="0"/>
          <w:numId w:val="22"/>
        </w:numPr>
        <w:rPr>
          <w:rFonts w:asciiTheme="minorHAnsi" w:eastAsia="Cambria" w:hAnsiTheme="minorHAnsi" w:cs="Cambria"/>
        </w:rPr>
      </w:pPr>
      <w:r w:rsidRPr="00B3065A">
        <w:rPr>
          <w:rFonts w:asciiTheme="minorHAnsi" w:eastAsia="Cambria" w:hAnsiTheme="minorHAnsi" w:cs="Cambria"/>
        </w:rPr>
        <w:t xml:space="preserve">Before making final (PDF) deposit of dissertation through GSAS Electronic Deposit, check the formatting. Note though: Students who have not yet completed their internship DO NOT upload their manuscript to ProQuest, but instead submit to </w:t>
      </w:r>
      <w:hyperlink r:id="rId89">
        <w:r w:rsidRPr="00B3065A">
          <w:rPr>
            <w:rFonts w:asciiTheme="minorHAnsi" w:eastAsia="Cambria" w:hAnsiTheme="minorHAnsi" w:cs="Cambria"/>
            <w:color w:val="0000FF"/>
            <w:u w:val="single"/>
          </w:rPr>
          <w:t>ods@tc.columbia.edu</w:t>
        </w:r>
      </w:hyperlink>
      <w:r w:rsidRPr="00B3065A">
        <w:rPr>
          <w:rFonts w:asciiTheme="minorHAnsi" w:eastAsia="Cambria" w:hAnsiTheme="minorHAnsi" w:cs="Cambria"/>
        </w:rPr>
        <w:t xml:space="preserve"> by the deadline date listed on the academic calendar. Upon completion of the Internship, the student will complete the ProQuest application, but only upload a blank PDF page. ODS will replace this </w:t>
      </w:r>
      <w:r w:rsidRPr="00B3065A">
        <w:rPr>
          <w:rFonts w:asciiTheme="minorHAnsi" w:eastAsia="Cambria" w:hAnsiTheme="minorHAnsi" w:cs="Cambria"/>
        </w:rPr>
        <w:lastRenderedPageBreak/>
        <w:t>page with the prior submitted manuscript for GSAS review. Instructions will be included in each student’s defense packet.</w:t>
      </w:r>
    </w:p>
    <w:p w14:paraId="000005EE" w14:textId="77777777" w:rsidR="00CD3527" w:rsidRPr="00B3065A" w:rsidRDefault="00CD3527">
      <w:pPr>
        <w:ind w:left="270"/>
        <w:rPr>
          <w:rFonts w:asciiTheme="minorHAnsi" w:eastAsia="Cambria" w:hAnsiTheme="minorHAnsi" w:cs="Cambria"/>
        </w:rPr>
      </w:pPr>
    </w:p>
    <w:p w14:paraId="000005EF" w14:textId="77777777" w:rsidR="00CD3527" w:rsidRPr="00B3065A" w:rsidRDefault="007F4AED">
      <w:pPr>
        <w:ind w:firstLine="630"/>
        <w:rPr>
          <w:rFonts w:asciiTheme="minorHAnsi" w:eastAsia="Cambria" w:hAnsiTheme="minorHAnsi" w:cs="Cambria"/>
        </w:rPr>
      </w:pPr>
      <w:r w:rsidRPr="00B3065A">
        <w:rPr>
          <w:rFonts w:asciiTheme="minorHAnsi" w:eastAsia="Cambria" w:hAnsiTheme="minorHAnsi" w:cs="Cambria"/>
        </w:rPr>
        <w:t>Avoid common formatting errors:</w:t>
      </w:r>
    </w:p>
    <w:p w14:paraId="000005F0" w14:textId="77777777" w:rsidR="00CD3527" w:rsidRPr="00B3065A" w:rsidRDefault="00CD3527">
      <w:pPr>
        <w:rPr>
          <w:rFonts w:asciiTheme="minorHAnsi" w:eastAsia="Cambria" w:hAnsiTheme="minorHAnsi" w:cs="Cambria"/>
        </w:rPr>
      </w:pPr>
    </w:p>
    <w:p w14:paraId="000005F1" w14:textId="77777777" w:rsidR="00CD3527" w:rsidRPr="00B3065A" w:rsidRDefault="007F4AED">
      <w:pPr>
        <w:ind w:left="630"/>
        <w:rPr>
          <w:rFonts w:asciiTheme="minorHAnsi" w:eastAsia="Cambria" w:hAnsiTheme="minorHAnsi" w:cs="Cambria"/>
        </w:rPr>
      </w:pPr>
      <w:r w:rsidRPr="00B3065A">
        <w:rPr>
          <w:rFonts w:asciiTheme="minorHAnsi" w:eastAsia="Cambria" w:hAnsiTheme="minorHAnsi" w:cs="Cambria"/>
        </w:rPr>
        <w:t>-Copyright date:  Should be the year you complete all degree requirements, not necessarily the year you deposit (i.e., pending completion of internship);</w:t>
      </w:r>
    </w:p>
    <w:p w14:paraId="000005F2" w14:textId="77777777" w:rsidR="00CD3527" w:rsidRPr="00B3065A" w:rsidRDefault="00CD3527">
      <w:pPr>
        <w:ind w:left="630"/>
        <w:rPr>
          <w:rFonts w:asciiTheme="minorHAnsi" w:eastAsia="Cambria" w:hAnsiTheme="minorHAnsi" w:cs="Cambria"/>
        </w:rPr>
      </w:pPr>
    </w:p>
    <w:p w14:paraId="000005F3" w14:textId="77777777" w:rsidR="00CD3527" w:rsidRPr="00B3065A" w:rsidRDefault="007F4AED">
      <w:pPr>
        <w:tabs>
          <w:tab w:val="left" w:pos="630"/>
        </w:tabs>
        <w:ind w:left="630"/>
        <w:rPr>
          <w:rFonts w:asciiTheme="minorHAnsi" w:eastAsia="Cambria" w:hAnsiTheme="minorHAnsi" w:cs="Cambria"/>
        </w:rPr>
      </w:pPr>
      <w:r w:rsidRPr="00B3065A">
        <w:rPr>
          <w:rFonts w:asciiTheme="minorHAnsi" w:eastAsia="Cambria" w:hAnsiTheme="minorHAnsi" w:cs="Cambria"/>
        </w:rPr>
        <w:t xml:space="preserve">-References: Check that references are in the proper order (i.e., alphabetized and in accord with APA Style); </w:t>
      </w:r>
    </w:p>
    <w:p w14:paraId="000005F4" w14:textId="77777777" w:rsidR="00CD3527" w:rsidRPr="00B3065A" w:rsidRDefault="00CD3527">
      <w:pPr>
        <w:ind w:left="630"/>
        <w:rPr>
          <w:rFonts w:asciiTheme="minorHAnsi" w:eastAsia="Cambria" w:hAnsiTheme="minorHAnsi" w:cs="Cambria"/>
        </w:rPr>
      </w:pPr>
    </w:p>
    <w:p w14:paraId="000005F5" w14:textId="77777777" w:rsidR="00CD3527" w:rsidRPr="00B3065A" w:rsidRDefault="007F4AED">
      <w:pPr>
        <w:ind w:left="630"/>
        <w:rPr>
          <w:rFonts w:asciiTheme="minorHAnsi" w:eastAsia="Cambria" w:hAnsiTheme="minorHAnsi" w:cs="Cambria"/>
        </w:rPr>
      </w:pPr>
      <w:r w:rsidRPr="00B3065A">
        <w:rPr>
          <w:rFonts w:asciiTheme="minorHAnsi" w:eastAsia="Cambria" w:hAnsiTheme="minorHAnsi" w:cs="Cambria"/>
        </w:rPr>
        <w:t xml:space="preserve">-Charts and Tables: Page numbers must be in the lower center.  </w:t>
      </w:r>
    </w:p>
    <w:p w14:paraId="000005F6" w14:textId="77777777" w:rsidR="00CD3527" w:rsidRPr="00B3065A" w:rsidRDefault="00CD3527">
      <w:pPr>
        <w:rPr>
          <w:rFonts w:asciiTheme="minorHAnsi" w:eastAsia="Cambria" w:hAnsiTheme="minorHAnsi" w:cs="Cambria"/>
        </w:rPr>
      </w:pPr>
    </w:p>
    <w:p w14:paraId="000005F7" w14:textId="77777777" w:rsidR="00CD3527" w:rsidRPr="00B3065A" w:rsidRDefault="007F4AED">
      <w:pPr>
        <w:numPr>
          <w:ilvl w:val="0"/>
          <w:numId w:val="21"/>
        </w:numPr>
        <w:rPr>
          <w:rFonts w:asciiTheme="minorHAnsi" w:eastAsia="Cambria" w:hAnsiTheme="minorHAnsi" w:cs="Cambria"/>
        </w:rPr>
      </w:pPr>
      <w:r w:rsidRPr="00B3065A">
        <w:rPr>
          <w:rFonts w:asciiTheme="minorHAnsi" w:eastAsia="Cambria" w:hAnsiTheme="minorHAnsi" w:cs="Cambria"/>
        </w:rPr>
        <w:t>Send either hard or PDF copies of completed dissertation to those committee members who’ve requested this.</w:t>
      </w:r>
    </w:p>
    <w:p w14:paraId="000005F8" w14:textId="77777777" w:rsidR="00CD3527" w:rsidRPr="00B3065A" w:rsidRDefault="00CD3527">
      <w:pPr>
        <w:rPr>
          <w:rFonts w:asciiTheme="minorHAnsi" w:eastAsia="Cambria" w:hAnsiTheme="minorHAnsi" w:cs="Cambria"/>
        </w:rPr>
      </w:pPr>
    </w:p>
    <w:p w14:paraId="000005F9" w14:textId="77777777" w:rsidR="00CD3527" w:rsidRPr="00B3065A" w:rsidRDefault="007F4AED">
      <w:pPr>
        <w:numPr>
          <w:ilvl w:val="0"/>
          <w:numId w:val="24"/>
        </w:numPr>
        <w:rPr>
          <w:rFonts w:asciiTheme="minorHAnsi" w:eastAsia="Cambria" w:hAnsiTheme="minorHAnsi" w:cs="Cambria"/>
        </w:rPr>
      </w:pPr>
      <w:r w:rsidRPr="00B3065A">
        <w:rPr>
          <w:rFonts w:asciiTheme="minorHAnsi" w:eastAsia="Cambria" w:hAnsiTheme="minorHAnsi" w:cs="Cambria"/>
        </w:rPr>
        <w:t>Celebrate.</w:t>
      </w:r>
    </w:p>
    <w:p w14:paraId="000005FA" w14:textId="77777777" w:rsidR="00CD3527" w:rsidRDefault="00CD3527">
      <w:pPr>
        <w:ind w:left="630"/>
        <w:rPr>
          <w:rFonts w:ascii="Cambria" w:eastAsia="Cambria" w:hAnsi="Cambria" w:cs="Cambria"/>
          <w:sz w:val="22"/>
          <w:szCs w:val="22"/>
        </w:rPr>
      </w:pPr>
    </w:p>
    <w:p w14:paraId="000005FB" w14:textId="77777777" w:rsidR="00CD3527" w:rsidRDefault="00CD3527">
      <w:pPr>
        <w:ind w:left="630"/>
        <w:rPr>
          <w:rFonts w:ascii="Cambria" w:eastAsia="Cambria" w:hAnsi="Cambria" w:cs="Cambria"/>
          <w:sz w:val="22"/>
          <w:szCs w:val="22"/>
        </w:rPr>
      </w:pPr>
    </w:p>
    <w:p w14:paraId="000005FC" w14:textId="77777777" w:rsidR="00CD3527" w:rsidRDefault="00CD3527">
      <w:pPr>
        <w:rPr>
          <w:rFonts w:ascii="Cambria" w:eastAsia="Cambria" w:hAnsi="Cambria" w:cs="Cambria"/>
          <w:sz w:val="22"/>
          <w:szCs w:val="22"/>
        </w:rPr>
      </w:pPr>
    </w:p>
    <w:p w14:paraId="000005FD" w14:textId="77777777" w:rsidR="00CD3527" w:rsidRDefault="007F4AED">
      <w:pPr>
        <w:rPr>
          <w:rFonts w:ascii="Cambria" w:eastAsia="Cambria" w:hAnsi="Cambria" w:cs="Cambria"/>
          <w:sz w:val="22"/>
          <w:szCs w:val="22"/>
        </w:rPr>
      </w:pPr>
      <w:r>
        <w:rPr>
          <w:rFonts w:ascii="Cambria" w:eastAsia="Cambria" w:hAnsi="Cambria" w:cs="Cambria"/>
          <w:noProof/>
          <w:sz w:val="22"/>
          <w:szCs w:val="22"/>
        </w:rPr>
        <w:drawing>
          <wp:inline distT="0" distB="0" distL="0" distR="0" wp14:anchorId="296ECEC2" wp14:editId="1AFEC431">
            <wp:extent cx="5657850" cy="3210560"/>
            <wp:effectExtent l="0" t="0" r="0" b="0"/>
            <wp:docPr id="4" name="image3.png" descr="A white rectangular table with black text&#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3.png" descr="A white rectangular table with black text&#10;&#10;Description automatically generated"/>
                    <pic:cNvPicPr preferRelativeResize="0"/>
                  </pic:nvPicPr>
                  <pic:blipFill>
                    <a:blip r:embed="rId90"/>
                    <a:srcRect/>
                    <a:stretch>
                      <a:fillRect/>
                    </a:stretch>
                  </pic:blipFill>
                  <pic:spPr>
                    <a:xfrm>
                      <a:off x="0" y="0"/>
                      <a:ext cx="5657850" cy="3210560"/>
                    </a:xfrm>
                    <a:prstGeom prst="rect">
                      <a:avLst/>
                    </a:prstGeom>
                    <a:ln/>
                  </pic:spPr>
                </pic:pic>
              </a:graphicData>
            </a:graphic>
          </wp:inline>
        </w:drawing>
      </w:r>
    </w:p>
    <w:p w14:paraId="000005FE" w14:textId="77777777" w:rsidR="00CD3527" w:rsidRDefault="00CD3527">
      <w:pPr>
        <w:rPr>
          <w:rFonts w:ascii="Cambria" w:eastAsia="Cambria" w:hAnsi="Cambria" w:cs="Cambria"/>
          <w:sz w:val="22"/>
          <w:szCs w:val="22"/>
        </w:rPr>
      </w:pPr>
    </w:p>
    <w:p w14:paraId="000005FF" w14:textId="77777777" w:rsidR="00CD3527" w:rsidRDefault="007F4AED">
      <w:pPr>
        <w:rPr>
          <w:b/>
        </w:rPr>
      </w:pPr>
      <w:r>
        <w:br w:type="page"/>
      </w:r>
    </w:p>
    <w:p w14:paraId="00000600" w14:textId="77777777" w:rsidR="00CD3527" w:rsidRPr="007B7F08" w:rsidRDefault="007F4AED">
      <w:pPr>
        <w:rPr>
          <w:rFonts w:ascii="Cambria" w:eastAsia="Cambria" w:hAnsi="Cambria" w:cs="Cambria"/>
        </w:rPr>
      </w:pPr>
      <w:r w:rsidRPr="007B7F08">
        <w:rPr>
          <w:rFonts w:ascii="Cambria" w:eastAsia="Cambria" w:hAnsi="Cambria" w:cs="Cambria"/>
          <w:b/>
        </w:rPr>
        <w:lastRenderedPageBreak/>
        <w:t xml:space="preserve">Alternative “3 Paper” format for doctoral dissertations </w:t>
      </w:r>
    </w:p>
    <w:p w14:paraId="00000601" w14:textId="0A360F17" w:rsidR="00CD3527" w:rsidRPr="00B3065A" w:rsidRDefault="007F4AED">
      <w:pPr>
        <w:rPr>
          <w:rFonts w:ascii="Cambria" w:eastAsia="Cambria" w:hAnsi="Cambria" w:cs="Cambria"/>
        </w:rPr>
      </w:pPr>
      <w:r w:rsidRPr="00B3065A">
        <w:rPr>
          <w:rFonts w:ascii="Cambria" w:eastAsia="Cambria" w:hAnsi="Cambria" w:cs="Cambria"/>
        </w:rPr>
        <w:t xml:space="preserve">Prepared by George Bonanno, Nov. 18, 2019 </w:t>
      </w:r>
    </w:p>
    <w:p w14:paraId="00000602" w14:textId="77777777" w:rsidR="00CD3527" w:rsidRPr="007B7F08" w:rsidRDefault="00CD3527">
      <w:pPr>
        <w:rPr>
          <w:rFonts w:ascii="Cambria" w:eastAsia="Cambria" w:hAnsi="Cambria" w:cs="Cambria"/>
        </w:rPr>
      </w:pPr>
    </w:p>
    <w:p w14:paraId="00000603" w14:textId="77777777" w:rsidR="00CD3527" w:rsidRPr="007B7F08" w:rsidRDefault="007F4AED">
      <w:pPr>
        <w:rPr>
          <w:rFonts w:ascii="Cambria" w:eastAsia="Cambria" w:hAnsi="Cambria" w:cs="Cambria"/>
        </w:rPr>
      </w:pPr>
      <w:r w:rsidRPr="007B7F08">
        <w:rPr>
          <w:rFonts w:ascii="Cambria" w:eastAsia="Cambria" w:hAnsi="Cambria" w:cs="Cambria"/>
        </w:rPr>
        <w:t xml:space="preserve">A brief guide to structuring a dissertation using the “3 paper format.” </w:t>
      </w:r>
    </w:p>
    <w:p w14:paraId="00000604" w14:textId="77777777" w:rsidR="00CD3527" w:rsidRDefault="00CD3527">
      <w:pPr>
        <w:rPr>
          <w:rFonts w:ascii="Cambria" w:eastAsia="Cambria" w:hAnsi="Cambria" w:cs="Cambria"/>
          <w:b/>
        </w:rPr>
      </w:pPr>
    </w:p>
    <w:p w14:paraId="00000605" w14:textId="77777777" w:rsidR="00CD3527" w:rsidRDefault="007F4AED">
      <w:pPr>
        <w:rPr>
          <w:rFonts w:ascii="Cambria" w:eastAsia="Cambria" w:hAnsi="Cambria" w:cs="Cambria"/>
        </w:rPr>
      </w:pPr>
      <w:r>
        <w:rPr>
          <w:rFonts w:ascii="Cambria" w:eastAsia="Cambria" w:hAnsi="Cambria" w:cs="Cambria"/>
          <w:b/>
        </w:rPr>
        <w:t xml:space="preserve">Chapter 1: background question, literature, and methods (dissertation proposal) </w:t>
      </w:r>
    </w:p>
    <w:p w14:paraId="00000606" w14:textId="77777777" w:rsidR="00CD3527" w:rsidRDefault="007F4AED">
      <w:pPr>
        <w:rPr>
          <w:rFonts w:ascii="Cambria" w:eastAsia="Cambria" w:hAnsi="Cambria" w:cs="Cambria"/>
        </w:rPr>
      </w:pPr>
      <w:r>
        <w:rPr>
          <w:rFonts w:ascii="Cambria" w:eastAsia="Cambria" w:hAnsi="Cambria" w:cs="Cambria"/>
        </w:rPr>
        <w:t xml:space="preserve">Typical length 20-40 pages double-spaced. </w:t>
      </w:r>
    </w:p>
    <w:p w14:paraId="00000607" w14:textId="77777777" w:rsidR="00CD3527" w:rsidRDefault="007F4AED">
      <w:pPr>
        <w:rPr>
          <w:rFonts w:ascii="Cambria" w:eastAsia="Cambria" w:hAnsi="Cambria" w:cs="Cambria"/>
        </w:rPr>
      </w:pPr>
      <w:r>
        <w:rPr>
          <w:rFonts w:ascii="Cambria" w:eastAsia="Cambria" w:hAnsi="Cambria" w:cs="Cambria"/>
        </w:rPr>
        <w:t xml:space="preserve">This chapter reviews the background literature and fundamental question(s) covered by the dissertation papers, how the papers relate to each other, and the methods/analyses used in the papers. This chapter may include material pasted or paraphrased from the actual papers. </w:t>
      </w:r>
    </w:p>
    <w:p w14:paraId="00000608" w14:textId="77777777" w:rsidR="00CD3527" w:rsidRDefault="007F4AED">
      <w:pPr>
        <w:rPr>
          <w:rFonts w:ascii="Cambria" w:eastAsia="Cambria" w:hAnsi="Cambria" w:cs="Cambria"/>
        </w:rPr>
      </w:pPr>
      <w:r>
        <w:rPr>
          <w:rFonts w:ascii="Cambria" w:eastAsia="Cambria" w:hAnsi="Cambria" w:cs="Cambria"/>
        </w:rPr>
        <w:t xml:space="preserve">The chapter should include the following specific elements: </w:t>
      </w:r>
    </w:p>
    <w:p w14:paraId="00000609" w14:textId="77777777" w:rsidR="00CD3527" w:rsidRDefault="007F4AED">
      <w:pPr>
        <w:numPr>
          <w:ilvl w:val="0"/>
          <w:numId w:val="25"/>
        </w:numPr>
        <w:ind w:left="0" w:firstLine="0"/>
        <w:rPr>
          <w:rFonts w:ascii="Cambria" w:eastAsia="Cambria" w:hAnsi="Cambria" w:cs="Cambria"/>
        </w:rPr>
      </w:pPr>
      <w:r>
        <w:rPr>
          <w:rFonts w:ascii="Cambria" w:eastAsia="Cambria" w:hAnsi="Cambria" w:cs="Cambria"/>
        </w:rPr>
        <w:t xml:space="preserve">Broad topic covered by the papers </w:t>
      </w:r>
      <w:r>
        <w:rPr>
          <w:rFonts w:ascii="MS Mincho" w:eastAsia="MS Mincho" w:hAnsi="MS Mincho" w:cs="MS Mincho"/>
        </w:rPr>
        <w:t> </w:t>
      </w:r>
    </w:p>
    <w:p w14:paraId="0000060A" w14:textId="77777777" w:rsidR="00CD3527" w:rsidRDefault="007F4AED">
      <w:pPr>
        <w:numPr>
          <w:ilvl w:val="0"/>
          <w:numId w:val="25"/>
        </w:numPr>
        <w:ind w:left="0" w:firstLine="0"/>
        <w:rPr>
          <w:rFonts w:ascii="Cambria" w:eastAsia="Cambria" w:hAnsi="Cambria" w:cs="Cambria"/>
        </w:rPr>
      </w:pPr>
      <w:r>
        <w:rPr>
          <w:rFonts w:ascii="Cambria" w:eastAsia="Cambria" w:hAnsi="Cambria" w:cs="Cambria"/>
        </w:rPr>
        <w:t xml:space="preserve">Summary of background literature </w:t>
      </w:r>
      <w:r>
        <w:rPr>
          <w:rFonts w:ascii="MS Mincho" w:eastAsia="MS Mincho" w:hAnsi="MS Mincho" w:cs="MS Mincho"/>
        </w:rPr>
        <w:t> </w:t>
      </w:r>
    </w:p>
    <w:p w14:paraId="0000060B" w14:textId="77777777" w:rsidR="00CD3527" w:rsidRDefault="007F4AED">
      <w:pPr>
        <w:numPr>
          <w:ilvl w:val="0"/>
          <w:numId w:val="25"/>
        </w:numPr>
        <w:ind w:left="0" w:firstLine="0"/>
        <w:rPr>
          <w:rFonts w:ascii="Cambria" w:eastAsia="Cambria" w:hAnsi="Cambria" w:cs="Cambria"/>
        </w:rPr>
      </w:pPr>
      <w:r>
        <w:rPr>
          <w:rFonts w:ascii="Cambria" w:eastAsia="Cambria" w:hAnsi="Cambria" w:cs="Cambria"/>
        </w:rPr>
        <w:t xml:space="preserve">Fundamental questions covered in each the papers </w:t>
      </w:r>
      <w:r>
        <w:rPr>
          <w:rFonts w:ascii="MS Mincho" w:eastAsia="MS Mincho" w:hAnsi="MS Mincho" w:cs="MS Mincho"/>
        </w:rPr>
        <w:t> </w:t>
      </w:r>
    </w:p>
    <w:p w14:paraId="0000060C" w14:textId="77777777" w:rsidR="00CD3527" w:rsidRDefault="007F4AED">
      <w:pPr>
        <w:numPr>
          <w:ilvl w:val="0"/>
          <w:numId w:val="25"/>
        </w:numPr>
        <w:ind w:left="0" w:firstLine="0"/>
        <w:rPr>
          <w:rFonts w:ascii="Cambria" w:eastAsia="Cambria" w:hAnsi="Cambria" w:cs="Cambria"/>
        </w:rPr>
      </w:pPr>
      <w:r>
        <w:rPr>
          <w:rFonts w:ascii="Cambria" w:eastAsia="Cambria" w:hAnsi="Cambria" w:cs="Cambria"/>
        </w:rPr>
        <w:t xml:space="preserve">How the papers each address the broader topic </w:t>
      </w:r>
      <w:r>
        <w:rPr>
          <w:rFonts w:ascii="MS Mincho" w:eastAsia="MS Mincho" w:hAnsi="MS Mincho" w:cs="MS Mincho"/>
        </w:rPr>
        <w:t> </w:t>
      </w:r>
    </w:p>
    <w:p w14:paraId="0000060D" w14:textId="77777777" w:rsidR="00CD3527" w:rsidRDefault="007F4AED">
      <w:pPr>
        <w:numPr>
          <w:ilvl w:val="0"/>
          <w:numId w:val="25"/>
        </w:numPr>
        <w:ind w:left="0" w:firstLine="0"/>
        <w:rPr>
          <w:rFonts w:ascii="Cambria" w:eastAsia="Cambria" w:hAnsi="Cambria" w:cs="Cambria"/>
        </w:rPr>
      </w:pPr>
      <w:r>
        <w:rPr>
          <w:rFonts w:ascii="Cambria" w:eastAsia="Cambria" w:hAnsi="Cambria" w:cs="Cambria"/>
        </w:rPr>
        <w:t xml:space="preserve">How the papers relate to each other </w:t>
      </w:r>
      <w:r>
        <w:rPr>
          <w:rFonts w:ascii="MS Mincho" w:eastAsia="MS Mincho" w:hAnsi="MS Mincho" w:cs="MS Mincho"/>
        </w:rPr>
        <w:t> </w:t>
      </w:r>
    </w:p>
    <w:p w14:paraId="0000060E" w14:textId="77777777" w:rsidR="00CD3527" w:rsidRDefault="007F4AED">
      <w:pPr>
        <w:numPr>
          <w:ilvl w:val="0"/>
          <w:numId w:val="25"/>
        </w:numPr>
        <w:ind w:left="0" w:firstLine="0"/>
        <w:rPr>
          <w:rFonts w:ascii="Cambria" w:eastAsia="Cambria" w:hAnsi="Cambria" w:cs="Cambria"/>
        </w:rPr>
      </w:pPr>
      <w:r>
        <w:rPr>
          <w:rFonts w:ascii="Cambria" w:eastAsia="Cambria" w:hAnsi="Cambria" w:cs="Cambria"/>
        </w:rPr>
        <w:t xml:space="preserve">The samples used in the papers </w:t>
      </w:r>
      <w:r>
        <w:rPr>
          <w:rFonts w:ascii="MS Mincho" w:eastAsia="MS Mincho" w:hAnsi="MS Mincho" w:cs="MS Mincho"/>
        </w:rPr>
        <w:t> </w:t>
      </w:r>
    </w:p>
    <w:p w14:paraId="0000060F" w14:textId="77777777" w:rsidR="00CD3527" w:rsidRDefault="007F4AED">
      <w:pPr>
        <w:numPr>
          <w:ilvl w:val="0"/>
          <w:numId w:val="25"/>
        </w:numPr>
        <w:ind w:left="0" w:firstLine="0"/>
        <w:rPr>
          <w:rFonts w:ascii="Cambria" w:eastAsia="Cambria" w:hAnsi="Cambria" w:cs="Cambria"/>
        </w:rPr>
      </w:pPr>
      <w:r>
        <w:rPr>
          <w:rFonts w:ascii="Cambria" w:eastAsia="Cambria" w:hAnsi="Cambria" w:cs="Cambria"/>
        </w:rPr>
        <w:t xml:space="preserve">Methods and measures used in the papers </w:t>
      </w:r>
      <w:r>
        <w:rPr>
          <w:rFonts w:ascii="MS Mincho" w:eastAsia="MS Mincho" w:hAnsi="MS Mincho" w:cs="MS Mincho"/>
        </w:rPr>
        <w:t> </w:t>
      </w:r>
    </w:p>
    <w:p w14:paraId="00000610" w14:textId="77777777" w:rsidR="00CD3527" w:rsidRDefault="007F4AED">
      <w:pPr>
        <w:numPr>
          <w:ilvl w:val="0"/>
          <w:numId w:val="25"/>
        </w:numPr>
        <w:ind w:left="0" w:firstLine="0"/>
        <w:rPr>
          <w:rFonts w:ascii="Cambria" w:eastAsia="Cambria" w:hAnsi="Cambria" w:cs="Cambria"/>
        </w:rPr>
      </w:pPr>
      <w:r>
        <w:rPr>
          <w:rFonts w:ascii="Cambria" w:eastAsia="Cambria" w:hAnsi="Cambria" w:cs="Cambria"/>
        </w:rPr>
        <w:t xml:space="preserve">Data analytic methods used in the papers </w:t>
      </w:r>
      <w:r>
        <w:rPr>
          <w:rFonts w:ascii="MS Mincho" w:eastAsia="MS Mincho" w:hAnsi="MS Mincho" w:cs="MS Mincho"/>
        </w:rPr>
        <w:t> </w:t>
      </w:r>
    </w:p>
    <w:p w14:paraId="00000611" w14:textId="77777777" w:rsidR="00CD3527" w:rsidRDefault="007F4AED">
      <w:pPr>
        <w:rPr>
          <w:rFonts w:ascii="Cambria" w:eastAsia="Cambria" w:hAnsi="Cambria" w:cs="Cambria"/>
        </w:rPr>
      </w:pPr>
      <w:r>
        <w:rPr>
          <w:rFonts w:ascii="Cambria" w:eastAsia="Cambria" w:hAnsi="Cambria" w:cs="Cambria"/>
        </w:rPr>
        <w:t xml:space="preserve">NOTE: if a meta-analytic review is included among the papers in Chapter 2, then the first chapter may be shorter in length (10-20 pages is recommended). </w:t>
      </w:r>
      <w:r>
        <w:rPr>
          <w:rFonts w:ascii="MS Mincho" w:eastAsia="MS Mincho" w:hAnsi="MS Mincho" w:cs="MS Mincho"/>
        </w:rPr>
        <w:t> </w:t>
      </w:r>
    </w:p>
    <w:p w14:paraId="00000612" w14:textId="77777777" w:rsidR="00CD3527" w:rsidRDefault="00CD3527">
      <w:pPr>
        <w:rPr>
          <w:rFonts w:ascii="Cambria" w:eastAsia="Cambria" w:hAnsi="Cambria" w:cs="Cambria"/>
        </w:rPr>
      </w:pPr>
    </w:p>
    <w:p w14:paraId="00000613" w14:textId="77777777" w:rsidR="00CD3527" w:rsidRDefault="007F4AED">
      <w:pPr>
        <w:rPr>
          <w:rFonts w:ascii="MS Mincho" w:eastAsia="MS Mincho" w:hAnsi="MS Mincho" w:cs="MS Mincho"/>
        </w:rPr>
      </w:pPr>
      <w:r>
        <w:rPr>
          <w:rFonts w:ascii="Cambria" w:eastAsia="Cambria" w:hAnsi="Cambria" w:cs="Cambria"/>
          <w:b/>
        </w:rPr>
        <w:t xml:space="preserve">Chapter 2: the papers </w:t>
      </w:r>
      <w:r>
        <w:rPr>
          <w:rFonts w:ascii="MS Mincho" w:eastAsia="MS Mincho" w:hAnsi="MS Mincho" w:cs="MS Mincho"/>
        </w:rPr>
        <w:t> </w:t>
      </w:r>
    </w:p>
    <w:p w14:paraId="00000614" w14:textId="77777777" w:rsidR="00CD3527" w:rsidRDefault="007F4AED">
      <w:pPr>
        <w:rPr>
          <w:rFonts w:ascii="MS Mincho" w:eastAsia="MS Mincho" w:hAnsi="MS Mincho" w:cs="MS Mincho"/>
        </w:rPr>
      </w:pPr>
      <w:r>
        <w:rPr>
          <w:rFonts w:ascii="Cambria" w:eastAsia="Cambria" w:hAnsi="Cambria" w:cs="Cambria"/>
        </w:rPr>
        <w:t xml:space="preserve">This chapter includes 3 or more papers or submission-ready papers, structured as they would be for submission to a peer-reviewed journal. At the discretion of the dissertation sponsor, the first two papers may be published or submitted for publication (but one should not yet be submitted so committee can provide feedback on analytic plan). </w:t>
      </w:r>
      <w:r>
        <w:rPr>
          <w:rFonts w:ascii="MS Mincho" w:eastAsia="MS Mincho" w:hAnsi="MS Mincho" w:cs="MS Mincho"/>
        </w:rPr>
        <w:t> </w:t>
      </w:r>
      <w:r>
        <w:rPr>
          <w:rFonts w:ascii="Cambria" w:eastAsia="Cambria" w:hAnsi="Cambria" w:cs="Cambria"/>
          <w:b/>
          <w:i/>
        </w:rPr>
        <w:t xml:space="preserve">The three papers must be empirical and first-authored by the doctoral candidate. </w:t>
      </w:r>
      <w:r>
        <w:rPr>
          <w:rFonts w:ascii="Cambria" w:eastAsia="Cambria" w:hAnsi="Cambria" w:cs="Cambria"/>
        </w:rPr>
        <w:t xml:space="preserve">At the dissertation sponsor’s discretion, one of the papers may be of a theoretical (non-empirical) nature, as long as that paper is highly pertinent to the dissertation topic and includes inferential statistical analyses (e.g., a meta-analysis). At least one of the three papers must include data collected by the doctoral candidate. </w:t>
      </w:r>
      <w:r>
        <w:rPr>
          <w:rFonts w:ascii="MS Mincho" w:eastAsia="MS Mincho" w:hAnsi="MS Mincho" w:cs="MS Mincho"/>
        </w:rPr>
        <w:t> </w:t>
      </w:r>
    </w:p>
    <w:p w14:paraId="00000615" w14:textId="77777777" w:rsidR="00CD3527" w:rsidRDefault="00CD3527">
      <w:pPr>
        <w:rPr>
          <w:rFonts w:ascii="MS Mincho" w:eastAsia="MS Mincho" w:hAnsi="MS Mincho" w:cs="MS Mincho"/>
        </w:rPr>
      </w:pPr>
    </w:p>
    <w:p w14:paraId="00000616" w14:textId="77777777" w:rsidR="00CD3527" w:rsidRDefault="007F4AED">
      <w:pPr>
        <w:rPr>
          <w:rFonts w:ascii="MS Mincho" w:eastAsia="MS Mincho" w:hAnsi="MS Mincho" w:cs="MS Mincho"/>
        </w:rPr>
      </w:pPr>
      <w:r>
        <w:rPr>
          <w:rFonts w:ascii="Cambria" w:eastAsia="Cambria" w:hAnsi="Cambria" w:cs="Cambria"/>
          <w:b/>
        </w:rPr>
        <w:t xml:space="preserve">Chapter 3: Discussion and conclusions </w:t>
      </w:r>
      <w:r>
        <w:rPr>
          <w:rFonts w:ascii="MS Mincho" w:eastAsia="MS Mincho" w:hAnsi="MS Mincho" w:cs="MS Mincho"/>
        </w:rPr>
        <w:t> </w:t>
      </w:r>
    </w:p>
    <w:p w14:paraId="00000617" w14:textId="77777777" w:rsidR="00CD3527" w:rsidRDefault="007F4AED">
      <w:pPr>
        <w:rPr>
          <w:rFonts w:ascii="Cambria" w:eastAsia="Cambria" w:hAnsi="Cambria" w:cs="Cambria"/>
        </w:rPr>
      </w:pPr>
      <w:r>
        <w:rPr>
          <w:rFonts w:ascii="Cambria" w:eastAsia="Cambria" w:hAnsi="Cambria" w:cs="Cambria"/>
        </w:rPr>
        <w:t xml:space="preserve">Typical length 10-15 pages double spaces. This chapter summarizes the findings of the papers, discussed how they addressed the broader aim as well as the implications and limitations of the papers. This chapter may include material pasted or paraphrased from the actual papers. </w:t>
      </w:r>
    </w:p>
    <w:p w14:paraId="00000618" w14:textId="77777777" w:rsidR="00CD3527" w:rsidRDefault="007F4AED">
      <w:pPr>
        <w:rPr>
          <w:rFonts w:ascii="Cambria" w:eastAsia="Cambria" w:hAnsi="Cambria" w:cs="Cambria"/>
        </w:rPr>
      </w:pPr>
      <w:r>
        <w:rPr>
          <w:rFonts w:ascii="Cambria" w:eastAsia="Cambria" w:hAnsi="Cambria" w:cs="Cambria"/>
        </w:rPr>
        <w:t xml:space="preserve">The chapter should include the following specific elements: </w:t>
      </w:r>
    </w:p>
    <w:p w14:paraId="00000619" w14:textId="77777777" w:rsidR="00CD3527" w:rsidRDefault="007F4AED">
      <w:pPr>
        <w:numPr>
          <w:ilvl w:val="0"/>
          <w:numId w:val="91"/>
        </w:numPr>
        <w:ind w:left="0" w:firstLine="0"/>
        <w:rPr>
          <w:rFonts w:ascii="Cambria" w:eastAsia="Cambria" w:hAnsi="Cambria" w:cs="Cambria"/>
        </w:rPr>
      </w:pPr>
      <w:r>
        <w:rPr>
          <w:rFonts w:ascii="Cambria" w:eastAsia="Cambria" w:hAnsi="Cambria" w:cs="Cambria"/>
        </w:rPr>
        <w:t xml:space="preserve">Overall discussion of the findings in the papers </w:t>
      </w:r>
      <w:r>
        <w:rPr>
          <w:rFonts w:ascii="MS Mincho" w:eastAsia="MS Mincho" w:hAnsi="MS Mincho" w:cs="MS Mincho"/>
        </w:rPr>
        <w:t> </w:t>
      </w:r>
    </w:p>
    <w:p w14:paraId="0000061A" w14:textId="77777777" w:rsidR="00CD3527" w:rsidRDefault="007F4AED">
      <w:pPr>
        <w:numPr>
          <w:ilvl w:val="0"/>
          <w:numId w:val="91"/>
        </w:numPr>
        <w:ind w:left="0" w:firstLine="0"/>
        <w:rPr>
          <w:rFonts w:ascii="Cambria" w:eastAsia="Cambria" w:hAnsi="Cambria" w:cs="Cambria"/>
        </w:rPr>
      </w:pPr>
      <w:r>
        <w:rPr>
          <w:rFonts w:ascii="Cambria" w:eastAsia="Cambria" w:hAnsi="Cambria" w:cs="Cambria"/>
        </w:rPr>
        <w:t xml:space="preserve">Consideration of how they addressed the broader aim </w:t>
      </w:r>
      <w:r>
        <w:rPr>
          <w:rFonts w:ascii="MS Mincho" w:eastAsia="MS Mincho" w:hAnsi="MS Mincho" w:cs="MS Mincho"/>
        </w:rPr>
        <w:t> </w:t>
      </w:r>
    </w:p>
    <w:p w14:paraId="0000061B" w14:textId="77777777" w:rsidR="00CD3527" w:rsidRDefault="007F4AED">
      <w:pPr>
        <w:numPr>
          <w:ilvl w:val="0"/>
          <w:numId w:val="91"/>
        </w:numPr>
        <w:ind w:left="0" w:firstLine="0"/>
        <w:rPr>
          <w:rFonts w:ascii="Cambria" w:eastAsia="Cambria" w:hAnsi="Cambria" w:cs="Cambria"/>
        </w:rPr>
      </w:pPr>
      <w:r>
        <w:rPr>
          <w:rFonts w:ascii="Cambria" w:eastAsia="Cambria" w:hAnsi="Cambria" w:cs="Cambria"/>
        </w:rPr>
        <w:t xml:space="preserve">Limitations of the papers, as a group </w:t>
      </w:r>
      <w:r>
        <w:rPr>
          <w:rFonts w:ascii="MS Mincho" w:eastAsia="MS Mincho" w:hAnsi="MS Mincho" w:cs="MS Mincho"/>
        </w:rPr>
        <w:t> </w:t>
      </w:r>
    </w:p>
    <w:p w14:paraId="0000061C" w14:textId="77777777" w:rsidR="00CD3527" w:rsidRDefault="007F4AED">
      <w:pPr>
        <w:numPr>
          <w:ilvl w:val="0"/>
          <w:numId w:val="91"/>
        </w:numPr>
        <w:ind w:left="0" w:firstLine="0"/>
        <w:rPr>
          <w:rFonts w:ascii="Cambria" w:eastAsia="Cambria" w:hAnsi="Cambria" w:cs="Cambria"/>
        </w:rPr>
      </w:pPr>
      <w:r>
        <w:rPr>
          <w:rFonts w:ascii="Cambria" w:eastAsia="Cambria" w:hAnsi="Cambria" w:cs="Cambria"/>
        </w:rPr>
        <w:t xml:space="preserve">Implications of the papers for the broader aim and the profession </w:t>
      </w:r>
      <w:r>
        <w:rPr>
          <w:rFonts w:ascii="MS Mincho" w:eastAsia="MS Mincho" w:hAnsi="MS Mincho" w:cs="MS Mincho"/>
        </w:rPr>
        <w:t> </w:t>
      </w:r>
    </w:p>
    <w:p w14:paraId="0000061D" w14:textId="77777777" w:rsidR="00CD3527" w:rsidRDefault="007F4AED">
      <w:pPr>
        <w:numPr>
          <w:ilvl w:val="0"/>
          <w:numId w:val="91"/>
        </w:numPr>
        <w:ind w:left="0" w:firstLine="0"/>
        <w:rPr>
          <w:rFonts w:ascii="Cambria" w:eastAsia="Cambria" w:hAnsi="Cambria" w:cs="Cambria"/>
        </w:rPr>
      </w:pPr>
      <w:r>
        <w:rPr>
          <w:rFonts w:ascii="Cambria" w:eastAsia="Cambria" w:hAnsi="Cambria" w:cs="Cambria"/>
        </w:rPr>
        <w:lastRenderedPageBreak/>
        <w:t xml:space="preserve">Directions for future research </w:t>
      </w:r>
      <w:r>
        <w:rPr>
          <w:rFonts w:ascii="MS Mincho" w:eastAsia="MS Mincho" w:hAnsi="MS Mincho" w:cs="MS Mincho"/>
        </w:rPr>
        <w:t> </w:t>
      </w:r>
    </w:p>
    <w:p w14:paraId="0000061E" w14:textId="77777777" w:rsidR="00CD3527" w:rsidRDefault="00CD3527">
      <w:pPr>
        <w:rPr>
          <w:rFonts w:ascii="Cambria" w:eastAsia="Cambria" w:hAnsi="Cambria" w:cs="Cambria"/>
        </w:rPr>
      </w:pPr>
    </w:p>
    <w:p w14:paraId="0000061F" w14:textId="77777777" w:rsidR="00CD3527" w:rsidRDefault="007F4AED">
      <w:pPr>
        <w:rPr>
          <w:rFonts w:ascii="MS Mincho" w:eastAsia="MS Mincho" w:hAnsi="MS Mincho" w:cs="MS Mincho"/>
        </w:rPr>
      </w:pPr>
      <w:r>
        <w:rPr>
          <w:rFonts w:ascii="Cambria" w:eastAsia="Cambria" w:hAnsi="Cambria" w:cs="Cambria"/>
          <w:b/>
        </w:rPr>
        <w:t xml:space="preserve">The proposal hearing </w:t>
      </w:r>
      <w:r>
        <w:rPr>
          <w:rFonts w:ascii="MS Mincho" w:eastAsia="MS Mincho" w:hAnsi="MS Mincho" w:cs="MS Mincho"/>
        </w:rPr>
        <w:t> </w:t>
      </w:r>
    </w:p>
    <w:p w14:paraId="00000620" w14:textId="77777777" w:rsidR="00CD3527" w:rsidRDefault="007F4AED">
      <w:pPr>
        <w:rPr>
          <w:rFonts w:ascii="MS Mincho" w:eastAsia="MS Mincho" w:hAnsi="MS Mincho" w:cs="MS Mincho"/>
        </w:rPr>
      </w:pPr>
      <w:r>
        <w:rPr>
          <w:rFonts w:ascii="Cambria" w:eastAsia="Cambria" w:hAnsi="Cambria" w:cs="Cambria"/>
        </w:rPr>
        <w:t xml:space="preserve">The dissertation committee will review and offer critical evaluation of the proposal (chapter 1) and the papers in whatever form they may exist. The committee may reject any of the papers as inappropriate or inadequate for the dissertation. NOTE: ONLY TWO OF THE PAPERS MAY BE PUBLISHED OR SUBMITTED FOR PUBLICATION AT THE PROPOSAL STAGE. The third paper may be in preparation only. A portion of the third paper may be written but may not include more than an introduction and methods section with proposed data analytics. </w:t>
      </w:r>
      <w:r>
        <w:rPr>
          <w:rFonts w:ascii="MS Mincho" w:eastAsia="MS Mincho" w:hAnsi="MS Mincho" w:cs="MS Mincho"/>
        </w:rPr>
        <w:t> </w:t>
      </w:r>
    </w:p>
    <w:p w14:paraId="00000621" w14:textId="77777777" w:rsidR="00CD3527" w:rsidRDefault="00CD3527">
      <w:pPr>
        <w:rPr>
          <w:rFonts w:ascii="MS Mincho" w:eastAsia="MS Mincho" w:hAnsi="MS Mincho" w:cs="MS Mincho"/>
        </w:rPr>
      </w:pPr>
    </w:p>
    <w:p w14:paraId="00000622" w14:textId="77777777" w:rsidR="00CD3527" w:rsidRDefault="007F4AED">
      <w:pPr>
        <w:rPr>
          <w:rFonts w:ascii="MS Mincho" w:eastAsia="MS Mincho" w:hAnsi="MS Mincho" w:cs="MS Mincho"/>
        </w:rPr>
      </w:pPr>
      <w:r>
        <w:rPr>
          <w:rFonts w:ascii="Cambria" w:eastAsia="Cambria" w:hAnsi="Cambria" w:cs="Cambria"/>
          <w:b/>
        </w:rPr>
        <w:t xml:space="preserve">Advanced Seminar (The data hearing) </w:t>
      </w:r>
      <w:r>
        <w:rPr>
          <w:rFonts w:ascii="MS Mincho" w:eastAsia="MS Mincho" w:hAnsi="MS Mincho" w:cs="MS Mincho"/>
        </w:rPr>
        <w:t> </w:t>
      </w:r>
    </w:p>
    <w:p w14:paraId="00000623" w14:textId="77777777" w:rsidR="00CD3527" w:rsidRDefault="007F4AED">
      <w:pPr>
        <w:rPr>
          <w:rFonts w:ascii="MS Mincho" w:eastAsia="MS Mincho" w:hAnsi="MS Mincho" w:cs="MS Mincho"/>
        </w:rPr>
      </w:pPr>
      <w:r>
        <w:rPr>
          <w:rFonts w:ascii="Cambria" w:eastAsia="Cambria" w:hAnsi="Cambria" w:cs="Cambria"/>
        </w:rPr>
        <w:t xml:space="preserve">This meeting is optional and at the sponsor’s discretion. If the sponsor feels that this meeting would be useful in regard to the quality of the papers, this meeting can be scheduled. </w:t>
      </w:r>
      <w:r>
        <w:rPr>
          <w:rFonts w:ascii="MS Mincho" w:eastAsia="MS Mincho" w:hAnsi="MS Mincho" w:cs="MS Mincho"/>
        </w:rPr>
        <w:t> </w:t>
      </w:r>
    </w:p>
    <w:p w14:paraId="00000624" w14:textId="77777777" w:rsidR="00CD3527" w:rsidRDefault="00CD3527">
      <w:pPr>
        <w:rPr>
          <w:rFonts w:ascii="MS Mincho" w:eastAsia="MS Mincho" w:hAnsi="MS Mincho" w:cs="MS Mincho"/>
        </w:rPr>
      </w:pPr>
    </w:p>
    <w:p w14:paraId="00000625" w14:textId="77777777" w:rsidR="00CD3527" w:rsidRDefault="007F4AED">
      <w:pPr>
        <w:rPr>
          <w:rFonts w:ascii="MS Mincho" w:eastAsia="MS Mincho" w:hAnsi="MS Mincho" w:cs="MS Mincho"/>
        </w:rPr>
      </w:pPr>
      <w:r>
        <w:rPr>
          <w:rFonts w:ascii="Cambria" w:eastAsia="Cambria" w:hAnsi="Cambria" w:cs="Cambria"/>
          <w:b/>
        </w:rPr>
        <w:t xml:space="preserve">The oral defense </w:t>
      </w:r>
      <w:r>
        <w:rPr>
          <w:rFonts w:ascii="MS Mincho" w:eastAsia="MS Mincho" w:hAnsi="MS Mincho" w:cs="MS Mincho"/>
        </w:rPr>
        <w:t> </w:t>
      </w:r>
    </w:p>
    <w:p w14:paraId="00000626" w14:textId="77777777" w:rsidR="00CD3527" w:rsidRDefault="007F4AED">
      <w:pPr>
        <w:rPr>
          <w:rFonts w:ascii="MS Mincho" w:eastAsia="MS Mincho" w:hAnsi="MS Mincho" w:cs="MS Mincho"/>
        </w:rPr>
      </w:pPr>
      <w:r>
        <w:rPr>
          <w:rFonts w:ascii="Cambria" w:eastAsia="Cambria" w:hAnsi="Cambria" w:cs="Cambria"/>
        </w:rPr>
        <w:t>The oral defense is more or less guided by the same principles as a standard dissertation.</w:t>
      </w:r>
    </w:p>
    <w:p w14:paraId="00000627" w14:textId="77777777" w:rsidR="00CD3527" w:rsidRDefault="00CD3527">
      <w:pPr>
        <w:rPr>
          <w:rFonts w:ascii="MS Mincho" w:eastAsia="MS Mincho" w:hAnsi="MS Mincho" w:cs="MS Mincho"/>
        </w:rPr>
      </w:pPr>
    </w:p>
    <w:p w14:paraId="00000628" w14:textId="77777777" w:rsidR="00CD3527" w:rsidRDefault="007F4AED">
      <w:pPr>
        <w:rPr>
          <w:rFonts w:ascii="Cambria" w:eastAsia="Cambria" w:hAnsi="Cambria" w:cs="Cambria"/>
          <w:b/>
        </w:rPr>
      </w:pPr>
      <w:r>
        <w:rPr>
          <w:rFonts w:ascii="Cambria" w:eastAsia="Cambria" w:hAnsi="Cambria" w:cs="Cambria"/>
          <w:b/>
        </w:rPr>
        <w:t>Appendix</w:t>
      </w:r>
    </w:p>
    <w:p w14:paraId="00000629" w14:textId="77777777" w:rsidR="00CD3527" w:rsidRDefault="007F4AED">
      <w:pPr>
        <w:rPr>
          <w:rFonts w:ascii="Cambria" w:eastAsia="Cambria" w:hAnsi="Cambria" w:cs="Cambria"/>
        </w:rPr>
      </w:pPr>
      <w:r>
        <w:rPr>
          <w:rFonts w:ascii="Cambria" w:eastAsia="Cambria" w:hAnsi="Cambria" w:cs="Cambria"/>
        </w:rPr>
        <w:t xml:space="preserve">An optional appendix may include additional material accompanying the Chapter 2 papers, such as online supplemental material for publications or copies of specific measures used in the studies. </w:t>
      </w:r>
      <w:r>
        <w:rPr>
          <w:rFonts w:ascii="MS Mincho" w:eastAsia="MS Mincho" w:hAnsi="MS Mincho" w:cs="MS Mincho"/>
        </w:rPr>
        <w:t> </w:t>
      </w:r>
    </w:p>
    <w:p w14:paraId="0000062A" w14:textId="77777777" w:rsidR="00CD3527" w:rsidRDefault="007F4AED">
      <w:pPr>
        <w:rPr>
          <w:rFonts w:ascii="Cambria" w:eastAsia="Cambria" w:hAnsi="Cambria" w:cs="Cambria"/>
          <w:sz w:val="32"/>
          <w:szCs w:val="32"/>
        </w:rPr>
      </w:pPr>
      <w:r>
        <w:br w:type="page"/>
      </w:r>
    </w:p>
    <w:p w14:paraId="0000062B" w14:textId="77777777" w:rsidR="00CD3527" w:rsidRDefault="007F4AED">
      <w:pPr>
        <w:pStyle w:val="Heading1"/>
      </w:pPr>
      <w:bookmarkStart w:id="64" w:name="_heading=h.sqyw64" w:colFirst="0" w:colLast="0"/>
      <w:bookmarkEnd w:id="64"/>
      <w:r>
        <w:lastRenderedPageBreak/>
        <w:t xml:space="preserve">Useful Web </w:t>
      </w:r>
      <w:sdt>
        <w:sdtPr>
          <w:tag w:val="goog_rdk_6"/>
          <w:id w:val="-1966338242"/>
        </w:sdtPr>
        <w:sdtEndPr/>
        <w:sdtContent/>
      </w:sdt>
      <w:sdt>
        <w:sdtPr>
          <w:tag w:val="goog_rdk_7"/>
          <w:id w:val="-157994655"/>
        </w:sdtPr>
        <w:sdtEndPr/>
        <w:sdtContent/>
      </w:sdt>
      <w:r>
        <w:t>Sites</w:t>
      </w:r>
    </w:p>
    <w:p w14:paraId="0000062C" w14:textId="77777777" w:rsidR="00CD3527" w:rsidRDefault="00CD3527">
      <w:pPr>
        <w:pBdr>
          <w:top w:val="nil"/>
          <w:left w:val="nil"/>
          <w:bottom w:val="nil"/>
          <w:right w:val="nil"/>
          <w:between w:val="nil"/>
        </w:pBdr>
        <w:rPr>
          <w:rFonts w:ascii="Cambria" w:eastAsia="Cambria" w:hAnsi="Cambria" w:cs="Cambria"/>
          <w:color w:val="000000"/>
        </w:rPr>
      </w:pPr>
    </w:p>
    <w:p w14:paraId="0000062D" w14:textId="77777777" w:rsidR="00CD3527" w:rsidRDefault="009052E7">
      <w:pPr>
        <w:numPr>
          <w:ilvl w:val="0"/>
          <w:numId w:val="12"/>
        </w:numPr>
        <w:pBdr>
          <w:top w:val="nil"/>
          <w:left w:val="nil"/>
          <w:bottom w:val="nil"/>
          <w:right w:val="nil"/>
          <w:between w:val="nil"/>
        </w:pBdr>
        <w:rPr>
          <w:rFonts w:ascii="Cambria" w:eastAsia="Cambria" w:hAnsi="Cambria" w:cs="Cambria"/>
          <w:color w:val="000000"/>
        </w:rPr>
      </w:pPr>
      <w:hyperlink r:id="rId91">
        <w:r w:rsidR="007F4AED">
          <w:rPr>
            <w:rFonts w:ascii="Cambria" w:eastAsia="Cambria" w:hAnsi="Cambria" w:cs="Cambria"/>
            <w:color w:val="0000FF"/>
            <w:u w:val="single"/>
          </w:rPr>
          <w:t>www.apa.org</w:t>
        </w:r>
      </w:hyperlink>
      <w:r w:rsidR="007F4AED">
        <w:rPr>
          <w:rFonts w:ascii="Cambria" w:eastAsia="Cambria" w:hAnsi="Cambria" w:cs="Cambria"/>
          <w:color w:val="000000"/>
        </w:rPr>
        <w:t>—your national psychology organization. Check it out, and join.</w:t>
      </w:r>
    </w:p>
    <w:p w14:paraId="0000062E" w14:textId="77777777" w:rsidR="00CD3527" w:rsidRDefault="00CD3527">
      <w:pPr>
        <w:pBdr>
          <w:top w:val="nil"/>
          <w:left w:val="nil"/>
          <w:bottom w:val="nil"/>
          <w:right w:val="nil"/>
          <w:between w:val="nil"/>
        </w:pBdr>
        <w:ind w:left="720"/>
        <w:rPr>
          <w:rFonts w:ascii="Cambria" w:eastAsia="Cambria" w:hAnsi="Cambria" w:cs="Cambria"/>
          <w:color w:val="000000"/>
        </w:rPr>
      </w:pPr>
    </w:p>
    <w:p w14:paraId="0000062F" w14:textId="77777777" w:rsidR="00CD3527" w:rsidRDefault="009052E7">
      <w:pPr>
        <w:numPr>
          <w:ilvl w:val="0"/>
          <w:numId w:val="12"/>
        </w:numPr>
        <w:pBdr>
          <w:top w:val="nil"/>
          <w:left w:val="nil"/>
          <w:bottom w:val="nil"/>
          <w:right w:val="nil"/>
          <w:between w:val="nil"/>
        </w:pBdr>
        <w:rPr>
          <w:rFonts w:ascii="Cambria" w:eastAsia="Cambria" w:hAnsi="Cambria" w:cs="Cambria"/>
          <w:color w:val="000000"/>
        </w:rPr>
      </w:pPr>
      <w:hyperlink r:id="rId92">
        <w:r w:rsidR="007F4AED">
          <w:rPr>
            <w:rFonts w:ascii="Cambria" w:eastAsia="Cambria" w:hAnsi="Cambria" w:cs="Cambria"/>
            <w:color w:val="0000FF"/>
            <w:u w:val="single"/>
          </w:rPr>
          <w:t>www.nyspa.org</w:t>
        </w:r>
      </w:hyperlink>
      <w:r w:rsidR="007F4AED">
        <w:rPr>
          <w:rFonts w:ascii="Cambria" w:eastAsia="Cambria" w:hAnsi="Cambria" w:cs="Cambria"/>
          <w:color w:val="000000"/>
        </w:rPr>
        <w:t>—your local psychology organization. Yes, join this too.</w:t>
      </w:r>
    </w:p>
    <w:p w14:paraId="00000630" w14:textId="77777777" w:rsidR="00CD3527" w:rsidRDefault="00CD3527">
      <w:pPr>
        <w:pBdr>
          <w:top w:val="nil"/>
          <w:left w:val="nil"/>
          <w:bottom w:val="nil"/>
          <w:right w:val="nil"/>
          <w:between w:val="nil"/>
        </w:pBdr>
        <w:ind w:left="720" w:hanging="720"/>
        <w:rPr>
          <w:rFonts w:ascii="Cambria" w:eastAsia="Cambria" w:hAnsi="Cambria" w:cs="Cambria"/>
          <w:color w:val="000000"/>
        </w:rPr>
      </w:pPr>
    </w:p>
    <w:bookmarkStart w:id="65" w:name="_heading=h.3cqmetx" w:colFirst="0" w:colLast="0"/>
    <w:bookmarkEnd w:id="65"/>
    <w:p w14:paraId="00000631" w14:textId="77777777" w:rsidR="00CD3527" w:rsidRDefault="007F4AED">
      <w:pPr>
        <w:numPr>
          <w:ilvl w:val="0"/>
          <w:numId w:val="12"/>
        </w:numPr>
        <w:pBdr>
          <w:top w:val="nil"/>
          <w:left w:val="nil"/>
          <w:bottom w:val="nil"/>
          <w:right w:val="nil"/>
          <w:between w:val="nil"/>
        </w:pBdr>
        <w:rPr>
          <w:rFonts w:ascii="Cambria" w:eastAsia="Cambria" w:hAnsi="Cambria" w:cs="Cambria"/>
          <w:color w:val="000000"/>
        </w:rPr>
      </w:pPr>
      <w:r>
        <w:fldChar w:fldCharType="begin"/>
      </w:r>
      <w:r>
        <w:instrText xml:space="preserve"> HYPERLINK "http://www.appic.org" \h </w:instrText>
      </w:r>
      <w:r>
        <w:fldChar w:fldCharType="separate"/>
      </w:r>
      <w:r>
        <w:rPr>
          <w:rFonts w:ascii="Cambria" w:eastAsia="Cambria" w:hAnsi="Cambria" w:cs="Cambria"/>
          <w:color w:val="0000FF"/>
          <w:u w:val="single"/>
        </w:rPr>
        <w:t>www.appic.org</w:t>
      </w:r>
      <w:r>
        <w:rPr>
          <w:rFonts w:ascii="Cambria" w:eastAsia="Cambria" w:hAnsi="Cambria" w:cs="Cambria"/>
          <w:color w:val="0000FF"/>
          <w:u w:val="single"/>
        </w:rPr>
        <w:fldChar w:fldCharType="end"/>
      </w:r>
      <w:r>
        <w:rPr>
          <w:rFonts w:ascii="Cambria" w:eastAsia="Cambria" w:hAnsi="Cambria" w:cs="Cambria"/>
          <w:color w:val="000000"/>
        </w:rPr>
        <w:t>—for all your internship needs.</w:t>
      </w:r>
    </w:p>
    <w:p w14:paraId="00000632" w14:textId="77777777" w:rsidR="00CD3527" w:rsidRDefault="00CD3527">
      <w:pPr>
        <w:pBdr>
          <w:top w:val="nil"/>
          <w:left w:val="nil"/>
          <w:bottom w:val="nil"/>
          <w:right w:val="nil"/>
          <w:between w:val="nil"/>
        </w:pBdr>
        <w:rPr>
          <w:rFonts w:ascii="Cambria" w:eastAsia="Cambria" w:hAnsi="Cambria" w:cs="Cambria"/>
          <w:color w:val="000000"/>
        </w:rPr>
      </w:pPr>
    </w:p>
    <w:p w14:paraId="00000633" w14:textId="77777777" w:rsidR="00CD3527" w:rsidRDefault="009052E7">
      <w:pPr>
        <w:numPr>
          <w:ilvl w:val="0"/>
          <w:numId w:val="12"/>
        </w:numPr>
        <w:pBdr>
          <w:top w:val="nil"/>
          <w:left w:val="nil"/>
          <w:bottom w:val="nil"/>
          <w:right w:val="nil"/>
          <w:between w:val="nil"/>
        </w:pBdr>
        <w:rPr>
          <w:rFonts w:ascii="Cambria" w:eastAsia="Cambria" w:hAnsi="Cambria" w:cs="Cambria"/>
          <w:color w:val="000000"/>
        </w:rPr>
      </w:pPr>
      <w:hyperlink r:id="rId93">
        <w:r w:rsidR="007F4AED">
          <w:rPr>
            <w:rFonts w:ascii="Cambria" w:eastAsia="Cambria" w:hAnsi="Cambria" w:cs="Cambria"/>
            <w:color w:val="0000FF"/>
            <w:u w:val="single"/>
          </w:rPr>
          <w:t>http://www.sscpweb.org/</w:t>
        </w:r>
      </w:hyperlink>
      <w:r w:rsidR="007F4AED">
        <w:rPr>
          <w:rFonts w:ascii="Cambria" w:eastAsia="Cambria" w:hAnsi="Cambria" w:cs="Cambria"/>
          <w:color w:val="000000"/>
        </w:rPr>
        <w:t>—features information relevant to the integration of science &amp; practice, professional development, internship-related resources</w:t>
      </w:r>
    </w:p>
    <w:p w14:paraId="00000634" w14:textId="77777777" w:rsidR="00CD3527" w:rsidRDefault="00CD3527">
      <w:pPr>
        <w:pBdr>
          <w:top w:val="nil"/>
          <w:left w:val="nil"/>
          <w:bottom w:val="nil"/>
          <w:right w:val="nil"/>
          <w:between w:val="nil"/>
        </w:pBdr>
        <w:ind w:left="720" w:hanging="720"/>
        <w:rPr>
          <w:rFonts w:ascii="Cambria" w:eastAsia="Cambria" w:hAnsi="Cambria" w:cs="Cambria"/>
          <w:color w:val="000000"/>
        </w:rPr>
      </w:pPr>
    </w:p>
    <w:p w14:paraId="00000635" w14:textId="77777777" w:rsidR="00CD3527" w:rsidRDefault="009052E7">
      <w:pPr>
        <w:numPr>
          <w:ilvl w:val="0"/>
          <w:numId w:val="12"/>
        </w:numPr>
        <w:pBdr>
          <w:top w:val="nil"/>
          <w:left w:val="nil"/>
          <w:bottom w:val="nil"/>
          <w:right w:val="nil"/>
          <w:between w:val="nil"/>
        </w:pBdr>
        <w:rPr>
          <w:rFonts w:ascii="Cambria" w:eastAsia="Cambria" w:hAnsi="Cambria" w:cs="Cambria"/>
          <w:color w:val="000000"/>
        </w:rPr>
      </w:pPr>
      <w:hyperlink r:id="rId94">
        <w:r w:rsidR="007F4AED">
          <w:rPr>
            <w:rFonts w:ascii="Cambria" w:eastAsia="Cambria" w:hAnsi="Cambria" w:cs="Cambria"/>
            <w:color w:val="0000FF"/>
            <w:u w:val="single"/>
          </w:rPr>
          <w:t>www.apa.org/apags/</w:t>
        </w:r>
      </w:hyperlink>
      <w:r w:rsidR="007F4AED">
        <w:rPr>
          <w:rFonts w:ascii="Cambria" w:eastAsia="Cambria" w:hAnsi="Cambria" w:cs="Cambria"/>
          <w:color w:val="000000"/>
        </w:rPr>
        <w:t>—APA's Association of Graduate Students, includes info on internships, student advocacy, scholarships, and conferences.</w:t>
      </w:r>
    </w:p>
    <w:p w14:paraId="00000636" w14:textId="77777777" w:rsidR="00CD3527" w:rsidRDefault="00CD3527">
      <w:pPr>
        <w:pBdr>
          <w:top w:val="nil"/>
          <w:left w:val="nil"/>
          <w:bottom w:val="nil"/>
          <w:right w:val="nil"/>
          <w:between w:val="nil"/>
        </w:pBdr>
        <w:ind w:left="720" w:hanging="720"/>
        <w:rPr>
          <w:rFonts w:ascii="Cambria" w:eastAsia="Cambria" w:hAnsi="Cambria" w:cs="Cambria"/>
          <w:color w:val="000000"/>
        </w:rPr>
      </w:pPr>
    </w:p>
    <w:p w14:paraId="00000637" w14:textId="77777777" w:rsidR="00CD3527" w:rsidRDefault="009052E7">
      <w:pPr>
        <w:numPr>
          <w:ilvl w:val="0"/>
          <w:numId w:val="12"/>
        </w:numPr>
        <w:pBdr>
          <w:top w:val="nil"/>
          <w:left w:val="nil"/>
          <w:bottom w:val="nil"/>
          <w:right w:val="nil"/>
          <w:between w:val="nil"/>
        </w:pBdr>
        <w:rPr>
          <w:rFonts w:ascii="Cambria" w:eastAsia="Cambria" w:hAnsi="Cambria" w:cs="Cambria"/>
          <w:color w:val="000000"/>
        </w:rPr>
      </w:pPr>
      <w:hyperlink r:id="rId95">
        <w:r w:rsidR="007F4AED">
          <w:rPr>
            <w:rFonts w:ascii="Cambria" w:eastAsia="Cambria" w:hAnsi="Cambria" w:cs="Cambria"/>
            <w:color w:val="0000FF"/>
            <w:u w:val="single"/>
          </w:rPr>
          <w:t>www.psyweb.com</w:t>
        </w:r>
      </w:hyperlink>
      <w:r w:rsidR="007F4AED">
        <w:rPr>
          <w:rFonts w:ascii="Cambria" w:eastAsia="Cambria" w:hAnsi="Cambria" w:cs="Cambria"/>
          <w:color w:val="000000"/>
        </w:rPr>
        <w:t>—comprehensive data base on clinical disorders; includes DSM-5 criteria, case studies, information on psychotropic meds.</w:t>
      </w:r>
    </w:p>
    <w:p w14:paraId="00000638" w14:textId="77777777" w:rsidR="00CD3527" w:rsidRDefault="00CD3527">
      <w:pPr>
        <w:pBdr>
          <w:top w:val="nil"/>
          <w:left w:val="nil"/>
          <w:bottom w:val="nil"/>
          <w:right w:val="nil"/>
          <w:between w:val="nil"/>
        </w:pBdr>
        <w:ind w:left="720" w:hanging="720"/>
        <w:rPr>
          <w:rFonts w:ascii="Cambria" w:eastAsia="Cambria" w:hAnsi="Cambria" w:cs="Cambria"/>
          <w:color w:val="000000"/>
        </w:rPr>
      </w:pPr>
    </w:p>
    <w:bookmarkStart w:id="66" w:name="_heading=h.1rvwp1q" w:colFirst="0" w:colLast="0"/>
    <w:bookmarkEnd w:id="66"/>
    <w:p w14:paraId="00000639" w14:textId="77777777" w:rsidR="00CD3527" w:rsidRDefault="007F4AED">
      <w:pPr>
        <w:numPr>
          <w:ilvl w:val="0"/>
          <w:numId w:val="12"/>
        </w:numPr>
        <w:pBdr>
          <w:top w:val="nil"/>
          <w:left w:val="nil"/>
          <w:bottom w:val="nil"/>
          <w:right w:val="nil"/>
          <w:between w:val="nil"/>
        </w:pBdr>
        <w:rPr>
          <w:rFonts w:ascii="Cambria" w:eastAsia="Cambria" w:hAnsi="Cambria" w:cs="Cambria"/>
          <w:color w:val="000000"/>
        </w:rPr>
      </w:pPr>
      <w:r>
        <w:fldChar w:fldCharType="begin"/>
      </w:r>
      <w:r>
        <w:instrText xml:space="preserve"> HYPERLINK "http://www.asppb.org" \h </w:instrText>
      </w:r>
      <w:r>
        <w:fldChar w:fldCharType="separate"/>
      </w:r>
      <w:r>
        <w:rPr>
          <w:rFonts w:ascii="Cambria" w:eastAsia="Cambria" w:hAnsi="Cambria" w:cs="Cambria"/>
          <w:color w:val="0000FF"/>
          <w:u w:val="single"/>
        </w:rPr>
        <w:t>www.asppb.org</w:t>
      </w:r>
      <w:r>
        <w:rPr>
          <w:rFonts w:ascii="Cambria" w:eastAsia="Cambria" w:hAnsi="Cambria" w:cs="Cambria"/>
          <w:color w:val="0000FF"/>
          <w:u w:val="single"/>
        </w:rPr>
        <w:fldChar w:fldCharType="end"/>
      </w:r>
      <w:r>
        <w:rPr>
          <w:rFonts w:ascii="Cambria" w:eastAsia="Cambria" w:hAnsi="Cambria" w:cs="Cambria"/>
          <w:color w:val="000000"/>
        </w:rPr>
        <w:t>—Association for State and Provisional Psychology Boards, laws and regulations.</w:t>
      </w:r>
    </w:p>
    <w:p w14:paraId="0000063A" w14:textId="77777777" w:rsidR="00CD3527" w:rsidRDefault="00CD3527">
      <w:pPr>
        <w:pBdr>
          <w:top w:val="nil"/>
          <w:left w:val="nil"/>
          <w:bottom w:val="nil"/>
          <w:right w:val="nil"/>
          <w:between w:val="nil"/>
        </w:pBdr>
        <w:ind w:left="720" w:hanging="720"/>
        <w:rPr>
          <w:rFonts w:ascii="Cambria" w:eastAsia="Cambria" w:hAnsi="Cambria" w:cs="Cambria"/>
          <w:color w:val="0000FF"/>
          <w:u w:val="single"/>
        </w:rPr>
      </w:pPr>
    </w:p>
    <w:bookmarkStart w:id="67" w:name="_heading=h.4bvk7pj" w:colFirst="0" w:colLast="0"/>
    <w:bookmarkEnd w:id="67"/>
    <w:p w14:paraId="0000063B" w14:textId="77777777" w:rsidR="00CD3527" w:rsidRDefault="007F4AED">
      <w:pPr>
        <w:numPr>
          <w:ilvl w:val="0"/>
          <w:numId w:val="12"/>
        </w:numPr>
        <w:pBdr>
          <w:top w:val="nil"/>
          <w:left w:val="nil"/>
          <w:bottom w:val="nil"/>
          <w:right w:val="nil"/>
          <w:between w:val="nil"/>
        </w:pBdr>
        <w:rPr>
          <w:rFonts w:ascii="Cambria" w:eastAsia="Cambria" w:hAnsi="Cambria" w:cs="Cambria"/>
          <w:color w:val="000000"/>
        </w:rPr>
      </w:pPr>
      <w:r>
        <w:fldChar w:fldCharType="begin"/>
      </w:r>
      <w:r>
        <w:instrText xml:space="preserve"> HYPERLINK "http://www.kspope.com" \h </w:instrText>
      </w:r>
      <w:r>
        <w:fldChar w:fldCharType="separate"/>
      </w:r>
      <w:r>
        <w:rPr>
          <w:rFonts w:ascii="Cambria" w:eastAsia="Cambria" w:hAnsi="Cambria" w:cs="Cambria"/>
          <w:color w:val="0000FF"/>
          <w:u w:val="single"/>
        </w:rPr>
        <w:t>www.kspope.com</w:t>
      </w:r>
      <w:r>
        <w:rPr>
          <w:rFonts w:ascii="Cambria" w:eastAsia="Cambria" w:hAnsi="Cambria" w:cs="Cambria"/>
          <w:color w:val="0000FF"/>
          <w:u w:val="single"/>
        </w:rPr>
        <w:fldChar w:fldCharType="end"/>
      </w:r>
      <w:r>
        <w:rPr>
          <w:rFonts w:ascii="Cambria" w:eastAsia="Cambria" w:hAnsi="Cambria" w:cs="Cambria"/>
          <w:color w:val="0000FF"/>
        </w:rPr>
        <w:t>—</w:t>
      </w:r>
      <w:r>
        <w:rPr>
          <w:rFonts w:ascii="Cambria" w:eastAsia="Cambria" w:hAnsi="Cambria" w:cs="Cambria"/>
          <w:color w:val="000000"/>
        </w:rPr>
        <w:t>free full-text articles on assessment, therapy, forensics, ethics, and other psychotherapy-related topics.</w:t>
      </w:r>
    </w:p>
    <w:p w14:paraId="0000063C" w14:textId="77777777" w:rsidR="00CD3527" w:rsidRDefault="00CD3527">
      <w:pPr>
        <w:pBdr>
          <w:top w:val="nil"/>
          <w:left w:val="nil"/>
          <w:bottom w:val="nil"/>
          <w:right w:val="nil"/>
          <w:between w:val="nil"/>
        </w:pBdr>
        <w:ind w:left="720" w:hanging="720"/>
        <w:rPr>
          <w:rFonts w:ascii="Cambria" w:eastAsia="Cambria" w:hAnsi="Cambria" w:cs="Cambria"/>
          <w:color w:val="000000"/>
        </w:rPr>
      </w:pPr>
    </w:p>
    <w:bookmarkStart w:id="68" w:name="_heading=h.2r0uhxc" w:colFirst="0" w:colLast="0"/>
    <w:bookmarkEnd w:id="68"/>
    <w:p w14:paraId="0000063D" w14:textId="77777777" w:rsidR="00CD3527" w:rsidRDefault="007F4AED">
      <w:pPr>
        <w:numPr>
          <w:ilvl w:val="0"/>
          <w:numId w:val="12"/>
        </w:numPr>
        <w:pBdr>
          <w:top w:val="nil"/>
          <w:left w:val="nil"/>
          <w:bottom w:val="nil"/>
          <w:right w:val="nil"/>
          <w:between w:val="nil"/>
        </w:pBdr>
        <w:rPr>
          <w:rFonts w:ascii="Cambria" w:eastAsia="Cambria" w:hAnsi="Cambria" w:cs="Cambria"/>
          <w:color w:val="000000"/>
        </w:rPr>
      </w:pPr>
      <w:r>
        <w:fldChar w:fldCharType="begin"/>
      </w:r>
      <w:r>
        <w:instrText xml:space="preserve"> HYPERLINK "http://www.nimh.nih.gov" \h </w:instrText>
      </w:r>
      <w:r>
        <w:fldChar w:fldCharType="separate"/>
      </w:r>
      <w:r>
        <w:rPr>
          <w:rFonts w:ascii="Cambria" w:eastAsia="Cambria" w:hAnsi="Cambria" w:cs="Cambria"/>
          <w:color w:val="0000FF"/>
          <w:u w:val="single"/>
        </w:rPr>
        <w:t>www.nimh.nih.gov</w:t>
      </w:r>
      <w:r>
        <w:rPr>
          <w:rFonts w:ascii="Cambria" w:eastAsia="Cambria" w:hAnsi="Cambria" w:cs="Cambria"/>
          <w:color w:val="0000FF"/>
          <w:u w:val="single"/>
        </w:rPr>
        <w:fldChar w:fldCharType="end"/>
      </w:r>
      <w:r>
        <w:rPr>
          <w:rFonts w:ascii="Cambria" w:eastAsia="Cambria" w:hAnsi="Cambria" w:cs="Cambria"/>
          <w:color w:val="000000"/>
        </w:rPr>
        <w:t>—National Institute of Mental Health website, includes patient education materials and research opportunities through NIMH.</w:t>
      </w:r>
    </w:p>
    <w:p w14:paraId="0000063E" w14:textId="77777777" w:rsidR="00CD3527" w:rsidRDefault="00CD3527">
      <w:pPr>
        <w:pBdr>
          <w:top w:val="nil"/>
          <w:left w:val="nil"/>
          <w:bottom w:val="nil"/>
          <w:right w:val="nil"/>
          <w:between w:val="nil"/>
        </w:pBdr>
        <w:ind w:left="720" w:hanging="720"/>
        <w:rPr>
          <w:rFonts w:ascii="Cambria" w:eastAsia="Cambria" w:hAnsi="Cambria" w:cs="Cambria"/>
          <w:color w:val="000000"/>
        </w:rPr>
      </w:pPr>
    </w:p>
    <w:bookmarkStart w:id="69" w:name="_heading=h.1664s55" w:colFirst="0" w:colLast="0"/>
    <w:bookmarkEnd w:id="69"/>
    <w:p w14:paraId="0000063F" w14:textId="77777777" w:rsidR="00CD3527" w:rsidRDefault="007F4AED">
      <w:pPr>
        <w:numPr>
          <w:ilvl w:val="0"/>
          <w:numId w:val="12"/>
        </w:numPr>
        <w:pBdr>
          <w:top w:val="nil"/>
          <w:left w:val="nil"/>
          <w:bottom w:val="nil"/>
          <w:right w:val="nil"/>
          <w:between w:val="nil"/>
        </w:pBdr>
        <w:rPr>
          <w:rFonts w:ascii="Cambria" w:eastAsia="Cambria" w:hAnsi="Cambria" w:cs="Cambria"/>
          <w:color w:val="000000"/>
        </w:rPr>
      </w:pPr>
      <w:r>
        <w:fldChar w:fldCharType="begin"/>
      </w:r>
      <w:r>
        <w:instrText xml:space="preserve"> HYPERLINK "http://www.psychservices.com" \h </w:instrText>
      </w:r>
      <w:r>
        <w:fldChar w:fldCharType="separate"/>
      </w:r>
      <w:r>
        <w:rPr>
          <w:rFonts w:ascii="Cambria" w:eastAsia="Cambria" w:hAnsi="Cambria" w:cs="Cambria"/>
          <w:color w:val="0000FF"/>
          <w:u w:val="single"/>
        </w:rPr>
        <w:t>www.psychservices.com</w:t>
      </w:r>
      <w:r>
        <w:rPr>
          <w:rFonts w:ascii="Cambria" w:eastAsia="Cambria" w:hAnsi="Cambria" w:cs="Cambria"/>
          <w:color w:val="0000FF"/>
          <w:u w:val="single"/>
        </w:rPr>
        <w:fldChar w:fldCharType="end"/>
      </w:r>
      <w:r>
        <w:rPr>
          <w:rFonts w:ascii="Cambria" w:eastAsia="Cambria" w:hAnsi="Cambria" w:cs="Cambria"/>
          <w:color w:val="000000"/>
        </w:rPr>
        <w:t>—extensive list of articles, websites, and research tools for easy reference on current topics on psychology.</w:t>
      </w:r>
    </w:p>
    <w:p w14:paraId="00000640" w14:textId="77777777" w:rsidR="00CD3527" w:rsidRDefault="00CD3527">
      <w:pPr>
        <w:pBdr>
          <w:top w:val="nil"/>
          <w:left w:val="nil"/>
          <w:bottom w:val="nil"/>
          <w:right w:val="nil"/>
          <w:between w:val="nil"/>
        </w:pBdr>
        <w:ind w:left="720" w:hanging="720"/>
        <w:rPr>
          <w:rFonts w:ascii="Cambria" w:eastAsia="Cambria" w:hAnsi="Cambria" w:cs="Cambria"/>
          <w:color w:val="000000"/>
        </w:rPr>
      </w:pPr>
    </w:p>
    <w:p w14:paraId="00000641" w14:textId="77777777" w:rsidR="00CD3527" w:rsidRDefault="009052E7">
      <w:pPr>
        <w:numPr>
          <w:ilvl w:val="0"/>
          <w:numId w:val="12"/>
        </w:numPr>
        <w:pBdr>
          <w:top w:val="nil"/>
          <w:left w:val="nil"/>
          <w:bottom w:val="nil"/>
          <w:right w:val="nil"/>
          <w:between w:val="nil"/>
        </w:pBdr>
        <w:rPr>
          <w:rFonts w:ascii="Cambria" w:eastAsia="Cambria" w:hAnsi="Cambria" w:cs="Cambria"/>
          <w:color w:val="000000"/>
        </w:rPr>
      </w:pPr>
      <w:hyperlink r:id="rId96">
        <w:r w:rsidR="007F4AED">
          <w:rPr>
            <w:rFonts w:ascii="Cambria" w:eastAsia="Cambria" w:hAnsi="Cambria" w:cs="Cambria"/>
            <w:color w:val="0000FF"/>
            <w:u w:val="single"/>
          </w:rPr>
          <w:t>www.tc.columbia.edu</w:t>
        </w:r>
      </w:hyperlink>
      <w:r w:rsidR="007F4AED">
        <w:rPr>
          <w:rFonts w:ascii="Cambria" w:eastAsia="Cambria" w:hAnsi="Cambria" w:cs="Cambria"/>
          <w:color w:val="000000"/>
        </w:rPr>
        <w:t>—a couple of clicks will get you to the research resources at Milbank library, including PsychInfo and Dissertation Abstracts. A couple of clicks will also get you to Clinical Psychology’s website and that of the Dean Hope Center.</w:t>
      </w:r>
    </w:p>
    <w:p w14:paraId="00000642" w14:textId="77777777" w:rsidR="00CD3527" w:rsidRDefault="00CD3527">
      <w:pPr>
        <w:pBdr>
          <w:top w:val="nil"/>
          <w:left w:val="nil"/>
          <w:bottom w:val="nil"/>
          <w:right w:val="nil"/>
          <w:between w:val="nil"/>
        </w:pBdr>
        <w:rPr>
          <w:rFonts w:ascii="Cambria" w:eastAsia="Cambria" w:hAnsi="Cambria" w:cs="Cambria"/>
          <w:color w:val="000000"/>
        </w:rPr>
      </w:pPr>
    </w:p>
    <w:bookmarkStart w:id="70" w:name="_heading=h.3q5sasy" w:colFirst="0" w:colLast="0"/>
    <w:bookmarkEnd w:id="70"/>
    <w:p w14:paraId="00000643" w14:textId="77777777" w:rsidR="00CD3527" w:rsidRDefault="007F4AED">
      <w:pPr>
        <w:numPr>
          <w:ilvl w:val="0"/>
          <w:numId w:val="12"/>
        </w:numPr>
        <w:pBdr>
          <w:top w:val="nil"/>
          <w:left w:val="nil"/>
          <w:bottom w:val="nil"/>
          <w:right w:val="nil"/>
          <w:between w:val="nil"/>
        </w:pBdr>
        <w:rPr>
          <w:rFonts w:ascii="Cambria" w:eastAsia="Cambria" w:hAnsi="Cambria" w:cs="Cambria"/>
          <w:color w:val="000000"/>
        </w:rPr>
      </w:pPr>
      <w:r>
        <w:fldChar w:fldCharType="begin"/>
      </w:r>
      <w:r>
        <w:instrText xml:space="preserve"> HYPERLINK "http://psychpracticum.fdu.edu/index.php/All_Sites" \h </w:instrText>
      </w:r>
      <w:r>
        <w:fldChar w:fldCharType="separate"/>
      </w:r>
      <w:r>
        <w:rPr>
          <w:rFonts w:ascii="Cambria" w:eastAsia="Cambria" w:hAnsi="Cambria" w:cs="Cambria"/>
          <w:color w:val="0000FF"/>
          <w:u w:val="single"/>
        </w:rPr>
        <w:t>http://psychpracticum.fdu.edu/index.php/All_Sites</w:t>
      </w:r>
      <w:r>
        <w:rPr>
          <w:rFonts w:ascii="Cambria" w:eastAsia="Cambria" w:hAnsi="Cambria" w:cs="Cambria"/>
          <w:color w:val="0000FF"/>
          <w:u w:val="single"/>
        </w:rPr>
        <w:fldChar w:fldCharType="end"/>
      </w:r>
      <w:r>
        <w:rPr>
          <w:rFonts w:ascii="Cambria" w:eastAsia="Cambria" w:hAnsi="Cambria" w:cs="Cambria"/>
          <w:color w:val="000000"/>
        </w:rPr>
        <w:t xml:space="preserve">  - a comprehensive list of externship sites in the New York metropolitan area. </w:t>
      </w:r>
    </w:p>
    <w:p w14:paraId="00000644" w14:textId="77777777" w:rsidR="00CD3527" w:rsidRDefault="00CD3527">
      <w:pPr>
        <w:pBdr>
          <w:top w:val="nil"/>
          <w:left w:val="nil"/>
          <w:bottom w:val="nil"/>
          <w:right w:val="nil"/>
          <w:between w:val="nil"/>
        </w:pBdr>
        <w:ind w:left="720" w:hanging="720"/>
        <w:rPr>
          <w:rFonts w:ascii="Cambria" w:eastAsia="Cambria" w:hAnsi="Cambria" w:cs="Cambria"/>
          <w:color w:val="000000"/>
        </w:rPr>
      </w:pPr>
    </w:p>
    <w:p w14:paraId="00000645" w14:textId="77777777" w:rsidR="00CD3527" w:rsidRDefault="007F4AED">
      <w:pPr>
        <w:numPr>
          <w:ilvl w:val="0"/>
          <w:numId w:val="12"/>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Another excellent source of information for all mental health resources in New York (sponsored by the Mental Health Association of NY State) is: 1-800-LIFENET (1-800-543-3638). </w:t>
      </w:r>
    </w:p>
    <w:p w14:paraId="00000646" w14:textId="77777777" w:rsidR="00CD3527" w:rsidRDefault="00CD3527">
      <w:pPr>
        <w:pBdr>
          <w:top w:val="nil"/>
          <w:left w:val="nil"/>
          <w:bottom w:val="nil"/>
          <w:right w:val="nil"/>
          <w:between w:val="nil"/>
        </w:pBdr>
        <w:ind w:left="720"/>
        <w:rPr>
          <w:rFonts w:ascii="Cambria" w:eastAsia="Cambria" w:hAnsi="Cambria" w:cs="Cambria"/>
          <w:color w:val="000000"/>
        </w:rPr>
      </w:pPr>
    </w:p>
    <w:p w14:paraId="00000647" w14:textId="77777777" w:rsidR="00CD3527" w:rsidRDefault="00CD3527">
      <w:pPr>
        <w:pBdr>
          <w:top w:val="nil"/>
          <w:left w:val="nil"/>
          <w:bottom w:val="nil"/>
          <w:right w:val="nil"/>
          <w:between w:val="nil"/>
        </w:pBdr>
        <w:rPr>
          <w:rFonts w:ascii="Cambria" w:eastAsia="Cambria" w:hAnsi="Cambria" w:cs="Cambria"/>
          <w:color w:val="000000"/>
        </w:rPr>
      </w:pPr>
    </w:p>
    <w:p w14:paraId="00000648" w14:textId="77777777" w:rsidR="00CD3527" w:rsidRDefault="007F4AED">
      <w:pPr>
        <w:rPr>
          <w:rFonts w:ascii="Cambria" w:eastAsia="Cambria" w:hAnsi="Cambria" w:cs="Cambria"/>
          <w:b/>
          <w:color w:val="000000"/>
          <w:sz w:val="28"/>
          <w:szCs w:val="28"/>
        </w:rPr>
      </w:pPr>
      <w:bookmarkStart w:id="71" w:name="_heading=h.25b2l0r" w:colFirst="0" w:colLast="0"/>
      <w:bookmarkEnd w:id="71"/>
      <w:r>
        <w:br w:type="page"/>
      </w:r>
      <w:r>
        <w:rPr>
          <w:rFonts w:ascii="Cambria" w:eastAsia="Cambria" w:hAnsi="Cambria" w:cs="Cambria"/>
          <w:b/>
          <w:color w:val="000000"/>
          <w:sz w:val="28"/>
          <w:szCs w:val="28"/>
        </w:rPr>
        <w:lastRenderedPageBreak/>
        <w:t>Dean Hope Center for Educational and Psychological Services/Updated Information August 2020 for Practice of Telepsychology</w:t>
      </w:r>
    </w:p>
    <w:p w14:paraId="00000649" w14:textId="77777777" w:rsidR="00CD3527" w:rsidRDefault="00CD3527">
      <w:pPr>
        <w:rPr>
          <w:b/>
          <w:color w:val="000000"/>
        </w:rPr>
      </w:pPr>
    </w:p>
    <w:p w14:paraId="0000064A" w14:textId="77777777" w:rsidR="00CD3527" w:rsidRDefault="007F4AED">
      <w:pPr>
        <w:rPr>
          <w:rFonts w:ascii="Cambria" w:eastAsia="Cambria" w:hAnsi="Cambria" w:cs="Cambria"/>
          <w:b/>
          <w:color w:val="000000"/>
        </w:rPr>
      </w:pPr>
      <w:r>
        <w:rPr>
          <w:rFonts w:ascii="Cambria" w:eastAsia="Cambria" w:hAnsi="Cambria" w:cs="Cambria"/>
          <w:b/>
          <w:color w:val="000000"/>
        </w:rPr>
        <w:t>Requirements</w:t>
      </w:r>
    </w:p>
    <w:p w14:paraId="0000064B" w14:textId="7218CB8D" w:rsidR="00CD3527" w:rsidRDefault="007F4AED">
      <w:pPr>
        <w:rPr>
          <w:rFonts w:ascii="Cambria" w:eastAsia="Cambria" w:hAnsi="Cambria" w:cs="Cambria"/>
          <w:color w:val="000000"/>
        </w:rPr>
      </w:pPr>
      <w:r>
        <w:rPr>
          <w:rFonts w:ascii="Cambria" w:eastAsia="Cambria" w:hAnsi="Cambria" w:cs="Cambria"/>
          <w:color w:val="000000"/>
        </w:rPr>
        <w:t>You can complete online trainings offered by the APA (</w:t>
      </w:r>
      <w:r w:rsidR="00DF1CFD">
        <w:rPr>
          <w:rFonts w:ascii="Cambria" w:eastAsia="Cambria" w:hAnsi="Cambria" w:cs="Cambria"/>
          <w:color w:val="000000"/>
        </w:rPr>
        <w:t>minimum of two trainings required</w:t>
      </w:r>
      <w:r>
        <w:rPr>
          <w:rFonts w:ascii="Cambria" w:eastAsia="Cambria" w:hAnsi="Cambria" w:cs="Cambria"/>
          <w:color w:val="000000"/>
        </w:rPr>
        <w:t>) found here:</w:t>
      </w:r>
    </w:p>
    <w:p w14:paraId="0000064C" w14:textId="77777777" w:rsidR="00CD3527" w:rsidRDefault="009052E7">
      <w:pPr>
        <w:rPr>
          <w:rFonts w:ascii="Cambria" w:eastAsia="Cambria" w:hAnsi="Cambria" w:cs="Cambria"/>
          <w:color w:val="000000"/>
        </w:rPr>
      </w:pPr>
      <w:hyperlink r:id="rId97">
        <w:r w:rsidR="007F4AED">
          <w:rPr>
            <w:rFonts w:ascii="Cambria" w:eastAsia="Cambria" w:hAnsi="Cambria" w:cs="Cambria"/>
            <w:color w:val="000000"/>
            <w:u w:val="single"/>
          </w:rPr>
          <w:t>https://telementalhealthtraining.com/free-webinars</w:t>
        </w:r>
      </w:hyperlink>
    </w:p>
    <w:p w14:paraId="0000064D" w14:textId="77777777" w:rsidR="00CD3527" w:rsidRDefault="007F4AED">
      <w:pPr>
        <w:numPr>
          <w:ilvl w:val="0"/>
          <w:numId w:val="81"/>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How to start a Telementalhealth Program</w:t>
      </w:r>
    </w:p>
    <w:p w14:paraId="0000064E" w14:textId="77777777" w:rsidR="00CD3527" w:rsidRDefault="009052E7">
      <w:pPr>
        <w:rPr>
          <w:rFonts w:ascii="Cambria" w:eastAsia="Cambria" w:hAnsi="Cambria" w:cs="Cambria"/>
          <w:color w:val="000000"/>
        </w:rPr>
      </w:pPr>
      <w:hyperlink r:id="rId98" w:anchor="section-2-2">
        <w:r w:rsidR="007F4AED">
          <w:rPr>
            <w:rFonts w:ascii="Cambria" w:eastAsia="Cambria" w:hAnsi="Cambria" w:cs="Cambria"/>
            <w:color w:val="000000"/>
            <w:u w:val="single"/>
          </w:rPr>
          <w:t>https://www.relias.com/topic/telehealth#section-2-2</w:t>
        </w:r>
      </w:hyperlink>
      <w:r w:rsidR="007F4AED">
        <w:rPr>
          <w:rFonts w:ascii="Cambria" w:eastAsia="Cambria" w:hAnsi="Cambria" w:cs="Cambria"/>
          <w:color w:val="000000"/>
        </w:rPr>
        <w:t xml:space="preserve">  (Select one or all)</w:t>
      </w:r>
    </w:p>
    <w:p w14:paraId="0000064F" w14:textId="77777777" w:rsidR="00CD3527" w:rsidRDefault="007F4AED">
      <w:pPr>
        <w:numPr>
          <w:ilvl w:val="0"/>
          <w:numId w:val="83"/>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Best Practices for Delivering Telehealth</w:t>
      </w:r>
    </w:p>
    <w:p w14:paraId="00000650" w14:textId="77777777" w:rsidR="00CD3527" w:rsidRDefault="007F4AED">
      <w:pPr>
        <w:numPr>
          <w:ilvl w:val="0"/>
          <w:numId w:val="83"/>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Implementation Guidelines for Telehealth Practitioners</w:t>
      </w:r>
    </w:p>
    <w:p w14:paraId="00000651" w14:textId="77777777" w:rsidR="00CD3527" w:rsidRDefault="007F4AED">
      <w:pPr>
        <w:numPr>
          <w:ilvl w:val="0"/>
          <w:numId w:val="83"/>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Telehealth in Clinical Practice</w:t>
      </w:r>
    </w:p>
    <w:p w14:paraId="00000652" w14:textId="77777777" w:rsidR="00CD3527" w:rsidRDefault="00CD3527">
      <w:pPr>
        <w:rPr>
          <w:rFonts w:ascii="Cambria" w:eastAsia="Cambria" w:hAnsi="Cambria" w:cs="Cambria"/>
          <w:b/>
          <w:color w:val="000000"/>
        </w:rPr>
      </w:pPr>
    </w:p>
    <w:p w14:paraId="00000653" w14:textId="77777777" w:rsidR="00CD3527" w:rsidRDefault="007F4AED">
      <w:pPr>
        <w:rPr>
          <w:rFonts w:ascii="Cambria" w:eastAsia="Cambria" w:hAnsi="Cambria" w:cs="Cambria"/>
          <w:b/>
          <w:color w:val="000000"/>
        </w:rPr>
      </w:pPr>
      <w:r>
        <w:rPr>
          <w:rFonts w:ascii="Cambria" w:eastAsia="Cambria" w:hAnsi="Cambria" w:cs="Cambria"/>
          <w:b/>
          <w:color w:val="000000"/>
        </w:rPr>
        <w:t xml:space="preserve">Guidelines </w:t>
      </w:r>
    </w:p>
    <w:p w14:paraId="00000654" w14:textId="77777777" w:rsidR="00CD3527" w:rsidRDefault="007F4AED">
      <w:pPr>
        <w:rPr>
          <w:rFonts w:ascii="Cambria" w:eastAsia="Cambria" w:hAnsi="Cambria" w:cs="Cambria"/>
          <w:color w:val="000000"/>
        </w:rPr>
      </w:pPr>
      <w:r>
        <w:rPr>
          <w:rFonts w:ascii="Cambria" w:eastAsia="Cambria" w:hAnsi="Cambria" w:cs="Cambria"/>
          <w:b/>
          <w:color w:val="000000"/>
        </w:rPr>
        <w:t>American Psychological Association Guidelines for Practice of Telepsychology:</w:t>
      </w:r>
      <w:r>
        <w:rPr>
          <w:rFonts w:ascii="Cambria" w:eastAsia="Cambria" w:hAnsi="Cambria" w:cs="Cambria"/>
          <w:color w:val="000000"/>
        </w:rPr>
        <w:t> APA has developed extensive guidelines for Telepsychology. </w:t>
      </w:r>
      <w:hyperlink r:id="rId99">
        <w:r>
          <w:rPr>
            <w:rFonts w:ascii="Cambria" w:eastAsia="Cambria" w:hAnsi="Cambria" w:cs="Cambria"/>
            <w:color w:val="000000"/>
            <w:u w:val="single"/>
          </w:rPr>
          <w:t>www.apa.org/practice/guidelines/telepsychology</w:t>
        </w:r>
      </w:hyperlink>
    </w:p>
    <w:p w14:paraId="00000655" w14:textId="77777777" w:rsidR="00CD3527" w:rsidRDefault="00CD3527">
      <w:pPr>
        <w:rPr>
          <w:rFonts w:ascii="Cambria" w:eastAsia="Cambria" w:hAnsi="Cambria" w:cs="Cambria"/>
          <w:color w:val="000000"/>
        </w:rPr>
      </w:pPr>
    </w:p>
    <w:p w14:paraId="00000656" w14:textId="77777777" w:rsidR="00CD3527" w:rsidRDefault="007F4AED">
      <w:pPr>
        <w:rPr>
          <w:rFonts w:ascii="Cambria" w:eastAsia="Cambria" w:hAnsi="Cambria" w:cs="Cambria"/>
          <w:color w:val="000000"/>
        </w:rPr>
      </w:pPr>
      <w:r>
        <w:rPr>
          <w:rFonts w:ascii="Cambria" w:eastAsia="Cambria" w:hAnsi="Cambria" w:cs="Cambria"/>
          <w:color w:val="000000"/>
        </w:rPr>
        <w:t xml:space="preserve">American Telehealth Association – Quick Quick Start Guide to Telehealth During a Health Crisis  </w:t>
      </w:r>
      <w:hyperlink r:id="rId100">
        <w:r>
          <w:rPr>
            <w:rFonts w:ascii="Cambria" w:eastAsia="Cambria" w:hAnsi="Cambria" w:cs="Cambria"/>
            <w:color w:val="000000"/>
            <w:u w:val="single"/>
          </w:rPr>
          <w:t>https://info.americantelemed.org/covid-19-resources-quickstart-guide-landing</w:t>
        </w:r>
      </w:hyperlink>
    </w:p>
    <w:p w14:paraId="00000657" w14:textId="77777777" w:rsidR="00CD3527" w:rsidRDefault="00CD3527">
      <w:pPr>
        <w:rPr>
          <w:rFonts w:ascii="Cambria" w:eastAsia="Cambria" w:hAnsi="Cambria" w:cs="Cambria"/>
          <w:color w:val="000000"/>
        </w:rPr>
      </w:pPr>
    </w:p>
    <w:p w14:paraId="00000658" w14:textId="77777777" w:rsidR="00CD3527" w:rsidRDefault="007F4AED">
      <w:pPr>
        <w:rPr>
          <w:rFonts w:ascii="Cambria" w:eastAsia="Cambria" w:hAnsi="Cambria" w:cs="Cambria"/>
          <w:b/>
          <w:color w:val="000000"/>
        </w:rPr>
      </w:pPr>
      <w:r>
        <w:rPr>
          <w:rFonts w:ascii="Cambria" w:eastAsia="Cambria" w:hAnsi="Cambria" w:cs="Cambria"/>
          <w:b/>
          <w:color w:val="000000"/>
        </w:rPr>
        <w:t xml:space="preserve">Articles </w:t>
      </w:r>
    </w:p>
    <w:p w14:paraId="00000659" w14:textId="77777777" w:rsidR="00CD3527" w:rsidRDefault="007F4AED">
      <w:pPr>
        <w:rPr>
          <w:rFonts w:ascii="Cambria" w:eastAsia="Cambria" w:hAnsi="Cambria" w:cs="Cambria"/>
          <w:color w:val="000000"/>
        </w:rPr>
      </w:pPr>
      <w:r>
        <w:rPr>
          <w:rFonts w:ascii="Cambria" w:eastAsia="Cambria" w:hAnsi="Cambria" w:cs="Cambria"/>
          <w:color w:val="000000"/>
        </w:rPr>
        <w:t>APA: Guidelines for the Practice of Telepsychology</w:t>
      </w:r>
    </w:p>
    <w:p w14:paraId="0000065A" w14:textId="77777777" w:rsidR="00CD3527" w:rsidRDefault="009052E7">
      <w:pPr>
        <w:rPr>
          <w:rFonts w:ascii="Cambria" w:eastAsia="Cambria" w:hAnsi="Cambria" w:cs="Cambria"/>
          <w:color w:val="000000"/>
        </w:rPr>
      </w:pPr>
      <w:hyperlink r:id="rId101">
        <w:r w:rsidR="007F4AED">
          <w:rPr>
            <w:rFonts w:ascii="Cambria" w:eastAsia="Cambria" w:hAnsi="Cambria" w:cs="Cambria"/>
            <w:color w:val="000000"/>
            <w:u w:val="single"/>
          </w:rPr>
          <w:t>https://www.apa.org/pubs/journals/features/amp-a0035001.pdf</w:t>
        </w:r>
      </w:hyperlink>
    </w:p>
    <w:p w14:paraId="0000065B" w14:textId="77777777" w:rsidR="00CD3527" w:rsidRDefault="007F4AED">
      <w:pPr>
        <w:shd w:val="clear" w:color="auto" w:fill="FFFFFF"/>
        <w:rPr>
          <w:rFonts w:ascii="Cambria" w:eastAsia="Cambria" w:hAnsi="Cambria" w:cs="Cambria"/>
          <w:color w:val="000000"/>
        </w:rPr>
      </w:pPr>
      <w:r>
        <w:rPr>
          <w:rFonts w:ascii="Cambria" w:eastAsia="Cambria" w:hAnsi="Cambria" w:cs="Cambria"/>
          <w:color w:val="000000"/>
        </w:rPr>
        <w:t>To Practice Telemental Health, Am I Required to Receive Training?</w:t>
      </w:r>
    </w:p>
    <w:p w14:paraId="0000065C" w14:textId="77777777" w:rsidR="00CD3527" w:rsidRDefault="009052E7">
      <w:pPr>
        <w:shd w:val="clear" w:color="auto" w:fill="FFFFFF"/>
        <w:rPr>
          <w:rFonts w:ascii="Cambria" w:eastAsia="Cambria" w:hAnsi="Cambria" w:cs="Cambria"/>
          <w:color w:val="000000"/>
        </w:rPr>
      </w:pPr>
      <w:hyperlink r:id="rId102">
        <w:r w:rsidR="007F4AED">
          <w:rPr>
            <w:rFonts w:ascii="Cambria" w:eastAsia="Cambria" w:hAnsi="Cambria" w:cs="Cambria"/>
            <w:color w:val="000000"/>
            <w:u w:val="single"/>
          </w:rPr>
          <w:t>https://personcenteredtech.com/2016/07/28/practice-telemental-health-required-receive-training/</w:t>
        </w:r>
      </w:hyperlink>
    </w:p>
    <w:p w14:paraId="0000065D" w14:textId="77777777" w:rsidR="00CD3527" w:rsidRDefault="007F4AED">
      <w:pPr>
        <w:shd w:val="clear" w:color="auto" w:fill="FFFFFF"/>
        <w:rPr>
          <w:rFonts w:ascii="Cambria" w:eastAsia="Cambria" w:hAnsi="Cambria" w:cs="Cambria"/>
          <w:b/>
          <w:color w:val="000000"/>
        </w:rPr>
      </w:pPr>
      <w:r>
        <w:rPr>
          <w:rFonts w:ascii="Cambria" w:eastAsia="Cambria" w:hAnsi="Cambria" w:cs="Cambria"/>
          <w:b/>
          <w:color w:val="000000"/>
        </w:rPr>
        <w:t>Supplementary</w:t>
      </w:r>
    </w:p>
    <w:p w14:paraId="0000065E" w14:textId="77777777" w:rsidR="00CD3527" w:rsidRDefault="007F4AED">
      <w:pPr>
        <w:rPr>
          <w:rFonts w:ascii="Cambria" w:eastAsia="Cambria" w:hAnsi="Cambria" w:cs="Cambria"/>
          <w:color w:val="000000"/>
        </w:rPr>
      </w:pPr>
      <w:r>
        <w:rPr>
          <w:rFonts w:ascii="Cambria" w:eastAsia="Cambria" w:hAnsi="Cambria" w:cs="Cambria"/>
          <w:b/>
          <w:color w:val="000000"/>
        </w:rPr>
        <w:t>College Counseling From a Distance Guidebook:</w:t>
      </w:r>
      <w:r>
        <w:rPr>
          <w:rFonts w:ascii="Cambria" w:eastAsia="Cambria" w:hAnsi="Cambria" w:cs="Cambria"/>
          <w:color w:val="000000"/>
        </w:rPr>
        <w:t> The Higher Education Mental Health Alliance offers this guide. </w:t>
      </w:r>
      <w:hyperlink r:id="rId103">
        <w:r>
          <w:rPr>
            <w:rFonts w:ascii="Cambria" w:eastAsia="Cambria" w:hAnsi="Cambria" w:cs="Cambria"/>
            <w:color w:val="000000"/>
            <w:u w:val="single"/>
          </w:rPr>
          <w:t>http://hemha.org/wp-content/uploads/2019/01/HEMHA-Distance-Counseling_FINAL2019.pdf</w:t>
        </w:r>
      </w:hyperlink>
    </w:p>
    <w:p w14:paraId="0000065F" w14:textId="77777777" w:rsidR="00CD3527" w:rsidRDefault="00CD3527">
      <w:pPr>
        <w:ind w:left="600"/>
        <w:rPr>
          <w:rFonts w:ascii="Cambria" w:eastAsia="Cambria" w:hAnsi="Cambria" w:cs="Cambria"/>
          <w:color w:val="000000"/>
        </w:rPr>
      </w:pPr>
    </w:p>
    <w:p w14:paraId="00000660" w14:textId="77777777" w:rsidR="00CD3527" w:rsidRDefault="007F4AED">
      <w:pPr>
        <w:rPr>
          <w:rFonts w:ascii="Cambria" w:eastAsia="Cambria" w:hAnsi="Cambria" w:cs="Cambria"/>
          <w:color w:val="000000"/>
        </w:rPr>
      </w:pPr>
      <w:r>
        <w:rPr>
          <w:rFonts w:ascii="Cambria" w:eastAsia="Cambria" w:hAnsi="Cambria" w:cs="Cambria"/>
          <w:b/>
          <w:color w:val="000000"/>
        </w:rPr>
        <w:t>National Consortium of Telehealth Resource Centers: </w:t>
      </w:r>
      <w:r>
        <w:rPr>
          <w:rFonts w:ascii="Cambria" w:eastAsia="Cambria" w:hAnsi="Cambria" w:cs="Cambria"/>
          <w:color w:val="000000"/>
        </w:rPr>
        <w:t>Telehealth Resource Centers (TRCs) have been established to provide assistance, education and information to organizations and individuals who are actively providing or interested in providing health care at a distance. </w:t>
      </w:r>
      <w:hyperlink r:id="rId104">
        <w:r>
          <w:rPr>
            <w:rFonts w:ascii="Cambria" w:eastAsia="Cambria" w:hAnsi="Cambria" w:cs="Cambria"/>
            <w:color w:val="000000"/>
            <w:u w:val="single"/>
          </w:rPr>
          <w:t>https://www.telehealthresourcecenter.org/</w:t>
        </w:r>
      </w:hyperlink>
    </w:p>
    <w:p w14:paraId="00000661" w14:textId="77777777" w:rsidR="00CD3527" w:rsidRDefault="00CD3527">
      <w:pPr>
        <w:pStyle w:val="Heading1"/>
      </w:pPr>
    </w:p>
    <w:p w14:paraId="00000662" w14:textId="77777777" w:rsidR="00CD3527" w:rsidRDefault="00CD3527">
      <w:pPr>
        <w:pBdr>
          <w:top w:val="nil"/>
          <w:left w:val="nil"/>
          <w:bottom w:val="nil"/>
          <w:right w:val="nil"/>
          <w:between w:val="nil"/>
        </w:pBdr>
        <w:rPr>
          <w:rFonts w:ascii="Times" w:eastAsia="Times" w:hAnsi="Times" w:cs="Times"/>
          <w:color w:val="000000"/>
        </w:rPr>
      </w:pPr>
    </w:p>
    <w:p w14:paraId="00000663" w14:textId="77777777" w:rsidR="00CD3527" w:rsidRDefault="00CD3527">
      <w:pPr>
        <w:pBdr>
          <w:top w:val="nil"/>
          <w:left w:val="nil"/>
          <w:bottom w:val="nil"/>
          <w:right w:val="nil"/>
          <w:between w:val="nil"/>
        </w:pBdr>
        <w:rPr>
          <w:rFonts w:ascii="Times" w:eastAsia="Times" w:hAnsi="Times" w:cs="Times"/>
          <w:color w:val="000000"/>
        </w:rPr>
      </w:pPr>
    </w:p>
    <w:p w14:paraId="00000664" w14:textId="77777777" w:rsidR="00CD3527" w:rsidRDefault="00CD3527">
      <w:pPr>
        <w:pBdr>
          <w:top w:val="nil"/>
          <w:left w:val="nil"/>
          <w:bottom w:val="nil"/>
          <w:right w:val="nil"/>
          <w:between w:val="nil"/>
        </w:pBdr>
        <w:rPr>
          <w:rFonts w:ascii="Times" w:eastAsia="Times" w:hAnsi="Times" w:cs="Times"/>
          <w:color w:val="000000"/>
        </w:rPr>
      </w:pPr>
    </w:p>
    <w:p w14:paraId="00000665" w14:textId="77777777" w:rsidR="00CD3527" w:rsidRDefault="00CD3527">
      <w:pPr>
        <w:pBdr>
          <w:top w:val="nil"/>
          <w:left w:val="nil"/>
          <w:bottom w:val="nil"/>
          <w:right w:val="nil"/>
          <w:between w:val="nil"/>
        </w:pBdr>
        <w:rPr>
          <w:rFonts w:ascii="Times" w:eastAsia="Times" w:hAnsi="Times" w:cs="Times"/>
          <w:color w:val="000000"/>
        </w:rPr>
      </w:pPr>
    </w:p>
    <w:p w14:paraId="00000666" w14:textId="77777777" w:rsidR="00CD3527" w:rsidRDefault="00CD3527">
      <w:pPr>
        <w:pBdr>
          <w:top w:val="nil"/>
          <w:left w:val="nil"/>
          <w:bottom w:val="nil"/>
          <w:right w:val="nil"/>
          <w:between w:val="nil"/>
        </w:pBdr>
        <w:rPr>
          <w:rFonts w:ascii="Times" w:eastAsia="Times" w:hAnsi="Times" w:cs="Times"/>
          <w:color w:val="000000"/>
        </w:rPr>
      </w:pPr>
    </w:p>
    <w:p w14:paraId="00000667" w14:textId="77777777" w:rsidR="00CD3527" w:rsidRDefault="007F4AED">
      <w:pPr>
        <w:pStyle w:val="Heading1"/>
      </w:pPr>
      <w:r>
        <w:lastRenderedPageBreak/>
        <w:t xml:space="preserve">APA Required Courses/ New York State Licensing Requirements </w:t>
      </w:r>
    </w:p>
    <w:p w14:paraId="00000668" w14:textId="77777777" w:rsidR="00CD3527" w:rsidRDefault="00CD3527">
      <w:pPr>
        <w:pBdr>
          <w:top w:val="nil"/>
          <w:left w:val="nil"/>
          <w:bottom w:val="nil"/>
          <w:right w:val="nil"/>
          <w:between w:val="nil"/>
        </w:pBdr>
        <w:rPr>
          <w:rFonts w:ascii="Cambria" w:eastAsia="Cambria" w:hAnsi="Cambria" w:cs="Cambria"/>
          <w:color w:val="000000"/>
        </w:rPr>
      </w:pPr>
    </w:p>
    <w:p w14:paraId="00000669"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In order to be eligible to sit for the NY State licensing exam, and in order to meet APA requirements, doctoral students are required to take at least one course from each of the categories listed below. (The first seven listed below are New York State requirements; the balance reflects other areas of concentration that APA requires). The courses that virtually all clinical students take to meet this requirement are listed first and in </w:t>
      </w:r>
      <w:r>
        <w:rPr>
          <w:rFonts w:ascii="Cambria" w:eastAsia="Cambria" w:hAnsi="Cambria" w:cs="Cambria"/>
          <w:b/>
          <w:color w:val="000000"/>
        </w:rPr>
        <w:t>bold</w:t>
      </w:r>
      <w:r>
        <w:rPr>
          <w:rFonts w:ascii="Cambria" w:eastAsia="Cambria" w:hAnsi="Cambria" w:cs="Cambria"/>
          <w:color w:val="000000"/>
        </w:rPr>
        <w:t xml:space="preserve">. Modifications or exemptions should be discussed with your advisor and/or the DCT. </w:t>
      </w:r>
    </w:p>
    <w:p w14:paraId="0000066A" w14:textId="77777777" w:rsidR="00CD3527" w:rsidRDefault="00CD3527">
      <w:pPr>
        <w:pBdr>
          <w:top w:val="nil"/>
          <w:left w:val="nil"/>
          <w:bottom w:val="nil"/>
          <w:right w:val="nil"/>
          <w:between w:val="nil"/>
        </w:pBdr>
        <w:rPr>
          <w:rFonts w:ascii="Cambria" w:eastAsia="Cambria" w:hAnsi="Cambria" w:cs="Cambria"/>
          <w:color w:val="000000"/>
        </w:rPr>
      </w:pPr>
    </w:p>
    <w:p w14:paraId="0000066B"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br/>
        <w:t xml:space="preserve">1. </w:t>
      </w:r>
      <w:r>
        <w:rPr>
          <w:rFonts w:ascii="Cambria" w:eastAsia="Cambria" w:hAnsi="Cambria" w:cs="Cambria"/>
          <w:color w:val="000000"/>
          <w:u w:val="single"/>
        </w:rPr>
        <w:t>Biological Aspects of Behavior</w:t>
      </w:r>
      <w:r>
        <w:rPr>
          <w:rFonts w:ascii="Cambria" w:eastAsia="Cambria" w:hAnsi="Cambria" w:cs="Cambria"/>
          <w:color w:val="000000"/>
        </w:rPr>
        <w:t xml:space="preserve"> </w:t>
      </w:r>
    </w:p>
    <w:p w14:paraId="0000066C" w14:textId="77777777" w:rsidR="00CD3527" w:rsidRDefault="007F4AED">
      <w:pPr>
        <w:pBdr>
          <w:top w:val="nil"/>
          <w:left w:val="nil"/>
          <w:bottom w:val="nil"/>
          <w:right w:val="nil"/>
          <w:between w:val="nil"/>
        </w:pBdr>
        <w:ind w:firstLine="720"/>
        <w:rPr>
          <w:rFonts w:ascii="Cambria" w:eastAsia="Cambria" w:hAnsi="Cambria" w:cs="Cambria"/>
          <w:color w:val="000000"/>
        </w:rPr>
      </w:pPr>
      <w:r>
        <w:rPr>
          <w:rFonts w:ascii="Cambria" w:eastAsia="Cambria" w:hAnsi="Cambria" w:cs="Cambria"/>
          <w:b/>
          <w:color w:val="000000"/>
        </w:rPr>
        <w:t>BBS 5069: Brain and behavior I and BBS 5069 Brain and behavior II</w:t>
      </w:r>
    </w:p>
    <w:p w14:paraId="0000066D" w14:textId="77777777" w:rsidR="00CD3527" w:rsidRDefault="007F4AED">
      <w:pPr>
        <w:pBdr>
          <w:top w:val="nil"/>
          <w:left w:val="nil"/>
          <w:bottom w:val="nil"/>
          <w:right w:val="nil"/>
          <w:between w:val="nil"/>
        </w:pBdr>
        <w:ind w:left="720"/>
        <w:rPr>
          <w:rFonts w:ascii="Cambria" w:eastAsia="Cambria" w:hAnsi="Cambria" w:cs="Cambria"/>
          <w:color w:val="000000"/>
        </w:rPr>
      </w:pPr>
      <w:r>
        <w:rPr>
          <w:rFonts w:ascii="Cambria" w:eastAsia="Cambria" w:hAnsi="Cambria" w:cs="Cambria"/>
          <w:color w:val="000000"/>
        </w:rPr>
        <w:t xml:space="preserve">HBSK 5070: Neural bases for language and cognitive development </w:t>
      </w:r>
    </w:p>
    <w:p w14:paraId="0000066E" w14:textId="77777777" w:rsidR="00CD3527" w:rsidRDefault="00CD3527">
      <w:pPr>
        <w:pBdr>
          <w:top w:val="nil"/>
          <w:left w:val="nil"/>
          <w:bottom w:val="nil"/>
          <w:right w:val="nil"/>
          <w:between w:val="nil"/>
        </w:pBdr>
        <w:rPr>
          <w:rFonts w:ascii="Cambria" w:eastAsia="Cambria" w:hAnsi="Cambria" w:cs="Cambria"/>
          <w:color w:val="000000"/>
        </w:rPr>
      </w:pPr>
    </w:p>
    <w:p w14:paraId="0000066F"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2. </w:t>
      </w:r>
      <w:r>
        <w:rPr>
          <w:rFonts w:ascii="Cambria" w:eastAsia="Cambria" w:hAnsi="Cambria" w:cs="Cambria"/>
          <w:color w:val="000000"/>
          <w:u w:val="single"/>
        </w:rPr>
        <w:t>Cognitive and Affective Aspects of Behavior</w:t>
      </w:r>
    </w:p>
    <w:p w14:paraId="00000670" w14:textId="77777777" w:rsidR="00CD3527" w:rsidRDefault="007F4AED">
      <w:pPr>
        <w:pBdr>
          <w:top w:val="nil"/>
          <w:left w:val="nil"/>
          <w:bottom w:val="nil"/>
          <w:right w:val="nil"/>
          <w:between w:val="nil"/>
        </w:pBdr>
        <w:ind w:firstLine="720"/>
        <w:rPr>
          <w:rFonts w:ascii="Cambria" w:eastAsia="Cambria" w:hAnsi="Cambria" w:cs="Cambria"/>
          <w:color w:val="000000"/>
        </w:rPr>
      </w:pPr>
      <w:r>
        <w:rPr>
          <w:rFonts w:ascii="Cambria" w:eastAsia="Cambria" w:hAnsi="Cambria" w:cs="Cambria"/>
          <w:b/>
          <w:color w:val="000000"/>
        </w:rPr>
        <w:t>CCPX 5020: Cognition, emotion, and culture</w:t>
      </w:r>
    </w:p>
    <w:p w14:paraId="00000671" w14:textId="77777777" w:rsidR="00CD3527" w:rsidRDefault="007F4AED">
      <w:pPr>
        <w:pBdr>
          <w:top w:val="nil"/>
          <w:left w:val="nil"/>
          <w:bottom w:val="nil"/>
          <w:right w:val="nil"/>
          <w:between w:val="nil"/>
        </w:pBdr>
        <w:ind w:firstLine="720"/>
        <w:rPr>
          <w:rFonts w:ascii="Cambria" w:eastAsia="Cambria" w:hAnsi="Cambria" w:cs="Cambria"/>
          <w:color w:val="000000"/>
        </w:rPr>
      </w:pPr>
      <w:r>
        <w:rPr>
          <w:rFonts w:ascii="Cambria" w:eastAsia="Cambria" w:hAnsi="Cambria" w:cs="Cambria"/>
          <w:color w:val="000000"/>
        </w:rPr>
        <w:t xml:space="preserve">HBSK 5096: Psychology of memory: Cognitive and affective bases </w:t>
      </w:r>
    </w:p>
    <w:p w14:paraId="00000672" w14:textId="77777777" w:rsidR="00CD3527" w:rsidRDefault="00CD3527">
      <w:pPr>
        <w:pBdr>
          <w:top w:val="nil"/>
          <w:left w:val="nil"/>
          <w:bottom w:val="nil"/>
          <w:right w:val="nil"/>
          <w:between w:val="nil"/>
        </w:pBdr>
        <w:rPr>
          <w:rFonts w:ascii="Cambria" w:eastAsia="Cambria" w:hAnsi="Cambria" w:cs="Cambria"/>
          <w:color w:val="000000"/>
        </w:rPr>
      </w:pPr>
    </w:p>
    <w:p w14:paraId="00000673"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3. </w:t>
      </w:r>
      <w:r>
        <w:rPr>
          <w:rFonts w:ascii="Cambria" w:eastAsia="Cambria" w:hAnsi="Cambria" w:cs="Cambria"/>
          <w:color w:val="000000"/>
          <w:u w:val="single"/>
        </w:rPr>
        <w:t>Social Aspects of Behavior</w:t>
      </w:r>
      <w:r>
        <w:rPr>
          <w:rFonts w:ascii="Cambria" w:eastAsia="Cambria" w:hAnsi="Cambria" w:cs="Cambria"/>
          <w:color w:val="000000"/>
        </w:rPr>
        <w:t xml:space="preserve"> </w:t>
      </w:r>
    </w:p>
    <w:p w14:paraId="00000674" w14:textId="77777777" w:rsidR="00CD3527" w:rsidRDefault="007F4AED">
      <w:pPr>
        <w:pBdr>
          <w:top w:val="nil"/>
          <w:left w:val="nil"/>
          <w:bottom w:val="nil"/>
          <w:right w:val="nil"/>
          <w:between w:val="nil"/>
        </w:pBdr>
        <w:ind w:firstLine="720"/>
        <w:rPr>
          <w:rFonts w:ascii="Cambria" w:eastAsia="Cambria" w:hAnsi="Cambria" w:cs="Cambria"/>
          <w:b/>
          <w:color w:val="000000"/>
        </w:rPr>
      </w:pPr>
      <w:r>
        <w:rPr>
          <w:rFonts w:ascii="Cambria" w:eastAsia="Cambria" w:hAnsi="Cambria" w:cs="Cambria"/>
          <w:b/>
          <w:color w:val="000000"/>
        </w:rPr>
        <w:t>ORLJ 5540: Proseminar in social psychology</w:t>
      </w:r>
    </w:p>
    <w:p w14:paraId="00000675" w14:textId="77777777" w:rsidR="00CD3527" w:rsidRDefault="00CD3527">
      <w:pPr>
        <w:pBdr>
          <w:top w:val="nil"/>
          <w:left w:val="nil"/>
          <w:bottom w:val="nil"/>
          <w:right w:val="nil"/>
          <w:between w:val="nil"/>
        </w:pBdr>
        <w:rPr>
          <w:rFonts w:ascii="Cambria" w:eastAsia="Cambria" w:hAnsi="Cambria" w:cs="Cambria"/>
          <w:b/>
          <w:color w:val="000000"/>
        </w:rPr>
      </w:pPr>
    </w:p>
    <w:p w14:paraId="00000676"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4. </w:t>
      </w:r>
      <w:r>
        <w:rPr>
          <w:rFonts w:ascii="Cambria" w:eastAsia="Cambria" w:hAnsi="Cambria" w:cs="Cambria"/>
          <w:color w:val="000000"/>
          <w:u w:val="single"/>
        </w:rPr>
        <w:t>Individual Differences in Behavior</w:t>
      </w:r>
    </w:p>
    <w:p w14:paraId="00000677" w14:textId="77777777" w:rsidR="00CD3527" w:rsidRDefault="007F4AED">
      <w:pPr>
        <w:pBdr>
          <w:top w:val="nil"/>
          <w:left w:val="nil"/>
          <w:bottom w:val="nil"/>
          <w:right w:val="nil"/>
          <w:between w:val="nil"/>
        </w:pBdr>
        <w:ind w:firstLine="720"/>
        <w:rPr>
          <w:rFonts w:ascii="Cambria" w:eastAsia="Cambria" w:hAnsi="Cambria" w:cs="Cambria"/>
          <w:color w:val="000000"/>
        </w:rPr>
      </w:pPr>
      <w:r>
        <w:rPr>
          <w:rFonts w:ascii="Cambria" w:eastAsia="Cambria" w:hAnsi="Cambria" w:cs="Cambria"/>
          <w:b/>
          <w:color w:val="000000"/>
        </w:rPr>
        <w:t>CCPX 5330: Principles and techniques of clinical assessment</w:t>
      </w:r>
    </w:p>
    <w:p w14:paraId="00000678" w14:textId="77777777" w:rsidR="00CD3527" w:rsidRDefault="00CD3527">
      <w:pPr>
        <w:pBdr>
          <w:top w:val="nil"/>
          <w:left w:val="nil"/>
          <w:bottom w:val="nil"/>
          <w:right w:val="nil"/>
          <w:between w:val="nil"/>
        </w:pBdr>
        <w:rPr>
          <w:rFonts w:ascii="Cambria" w:eastAsia="Cambria" w:hAnsi="Cambria" w:cs="Cambria"/>
          <w:color w:val="000000"/>
        </w:rPr>
      </w:pPr>
    </w:p>
    <w:p w14:paraId="00000679"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5. </w:t>
      </w:r>
      <w:r>
        <w:rPr>
          <w:rFonts w:ascii="Cambria" w:eastAsia="Cambria" w:hAnsi="Cambria" w:cs="Cambria"/>
          <w:color w:val="000000"/>
          <w:u w:val="single"/>
        </w:rPr>
        <w:t>Psychological Measurement</w:t>
      </w:r>
    </w:p>
    <w:p w14:paraId="0000067A" w14:textId="77777777" w:rsidR="00CD3527" w:rsidRDefault="007F4AED">
      <w:pPr>
        <w:pBdr>
          <w:top w:val="nil"/>
          <w:left w:val="nil"/>
          <w:bottom w:val="nil"/>
          <w:right w:val="nil"/>
          <w:between w:val="nil"/>
        </w:pBdr>
        <w:ind w:firstLine="720"/>
        <w:rPr>
          <w:rFonts w:ascii="Cambria" w:eastAsia="Cambria" w:hAnsi="Cambria" w:cs="Cambria"/>
          <w:color w:val="000000"/>
        </w:rPr>
      </w:pPr>
      <w:r>
        <w:rPr>
          <w:rFonts w:ascii="Cambria" w:eastAsia="Cambria" w:hAnsi="Cambria" w:cs="Cambria"/>
          <w:b/>
          <w:color w:val="000000"/>
        </w:rPr>
        <w:t xml:space="preserve">HUDM 5059: Psychological measurement </w:t>
      </w:r>
    </w:p>
    <w:p w14:paraId="0000067B" w14:textId="77777777" w:rsidR="00CD3527" w:rsidRDefault="00CD3527">
      <w:pPr>
        <w:pBdr>
          <w:top w:val="nil"/>
          <w:left w:val="nil"/>
          <w:bottom w:val="nil"/>
          <w:right w:val="nil"/>
          <w:between w:val="nil"/>
        </w:pBdr>
        <w:rPr>
          <w:rFonts w:ascii="Cambria" w:eastAsia="Cambria" w:hAnsi="Cambria" w:cs="Cambria"/>
          <w:color w:val="000000"/>
        </w:rPr>
      </w:pPr>
    </w:p>
    <w:p w14:paraId="0000067C"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6. </w:t>
      </w:r>
      <w:r>
        <w:rPr>
          <w:rFonts w:ascii="Cambria" w:eastAsia="Cambria" w:hAnsi="Cambria" w:cs="Cambria"/>
          <w:color w:val="000000"/>
          <w:u w:val="single"/>
        </w:rPr>
        <w:t>History and Systems of Psychology</w:t>
      </w:r>
    </w:p>
    <w:p w14:paraId="0000067D" w14:textId="77777777" w:rsidR="00CD3527" w:rsidRDefault="007F4AED">
      <w:pPr>
        <w:pBdr>
          <w:top w:val="nil"/>
          <w:left w:val="nil"/>
          <w:bottom w:val="nil"/>
          <w:right w:val="nil"/>
          <w:between w:val="nil"/>
        </w:pBdr>
        <w:ind w:firstLine="720"/>
        <w:rPr>
          <w:rFonts w:ascii="Cambria" w:eastAsia="Cambria" w:hAnsi="Cambria" w:cs="Cambria"/>
          <w:color w:val="000000"/>
        </w:rPr>
      </w:pPr>
      <w:r>
        <w:rPr>
          <w:rFonts w:ascii="Cambria" w:eastAsia="Cambria" w:hAnsi="Cambria" w:cs="Cambria"/>
          <w:b/>
          <w:color w:val="000000"/>
        </w:rPr>
        <w:t>CCPX 6020: History and systems of psychology</w:t>
      </w:r>
    </w:p>
    <w:p w14:paraId="0000067E" w14:textId="77777777" w:rsidR="00CD3527" w:rsidRDefault="00CD3527">
      <w:pPr>
        <w:pBdr>
          <w:top w:val="nil"/>
          <w:left w:val="nil"/>
          <w:bottom w:val="nil"/>
          <w:right w:val="nil"/>
          <w:between w:val="nil"/>
        </w:pBdr>
        <w:rPr>
          <w:rFonts w:ascii="Cambria" w:eastAsia="Cambria" w:hAnsi="Cambria" w:cs="Cambria"/>
          <w:color w:val="000000"/>
        </w:rPr>
      </w:pPr>
    </w:p>
    <w:p w14:paraId="0000067F" w14:textId="77777777" w:rsidR="00CD3527" w:rsidRDefault="007F4AED">
      <w:pPr>
        <w:pBdr>
          <w:top w:val="nil"/>
          <w:left w:val="nil"/>
          <w:bottom w:val="nil"/>
          <w:right w:val="nil"/>
          <w:between w:val="nil"/>
        </w:pBdr>
        <w:rPr>
          <w:rFonts w:ascii="Cambria" w:eastAsia="Cambria" w:hAnsi="Cambria" w:cs="Cambria"/>
          <w:color w:val="000000"/>
          <w:u w:val="single"/>
        </w:rPr>
      </w:pPr>
      <w:r>
        <w:rPr>
          <w:rFonts w:ascii="Cambria" w:eastAsia="Cambria" w:hAnsi="Cambria" w:cs="Cambria"/>
          <w:color w:val="000000"/>
        </w:rPr>
        <w:t xml:space="preserve">7. </w:t>
      </w:r>
      <w:r>
        <w:rPr>
          <w:rFonts w:ascii="Cambria" w:eastAsia="Cambria" w:hAnsi="Cambria" w:cs="Cambria"/>
          <w:color w:val="000000"/>
          <w:u w:val="single"/>
        </w:rPr>
        <w:t>Research Methodology</w:t>
      </w:r>
    </w:p>
    <w:p w14:paraId="00000680" w14:textId="77777777" w:rsidR="00CD3527" w:rsidRDefault="007F4AED">
      <w:pPr>
        <w:pBdr>
          <w:top w:val="nil"/>
          <w:left w:val="nil"/>
          <w:bottom w:val="nil"/>
          <w:right w:val="nil"/>
          <w:between w:val="nil"/>
        </w:pBdr>
        <w:ind w:firstLine="720"/>
        <w:rPr>
          <w:rFonts w:ascii="Cambria" w:eastAsia="Cambria" w:hAnsi="Cambria" w:cs="Cambria"/>
          <w:color w:val="000000"/>
        </w:rPr>
      </w:pPr>
      <w:r>
        <w:rPr>
          <w:rFonts w:ascii="Cambria" w:eastAsia="Cambria" w:hAnsi="Cambria" w:cs="Cambria"/>
          <w:b/>
          <w:color w:val="000000"/>
        </w:rPr>
        <w:t>ORLJ 5040: Research methods in social psychology</w:t>
      </w:r>
    </w:p>
    <w:p w14:paraId="00000681" w14:textId="77777777" w:rsidR="00CD3527" w:rsidRDefault="00CD3527">
      <w:pPr>
        <w:pBdr>
          <w:top w:val="nil"/>
          <w:left w:val="nil"/>
          <w:bottom w:val="nil"/>
          <w:right w:val="nil"/>
          <w:between w:val="nil"/>
        </w:pBdr>
        <w:rPr>
          <w:rFonts w:ascii="Cambria" w:eastAsia="Cambria" w:hAnsi="Cambria" w:cs="Cambria"/>
          <w:color w:val="000000"/>
        </w:rPr>
      </w:pPr>
    </w:p>
    <w:p w14:paraId="00000682"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8. </w:t>
      </w:r>
      <w:r>
        <w:rPr>
          <w:rFonts w:ascii="Cambria" w:eastAsia="Cambria" w:hAnsi="Cambria" w:cs="Cambria"/>
          <w:color w:val="000000"/>
          <w:u w:val="single"/>
        </w:rPr>
        <w:t>Techniques of Data Analysis</w:t>
      </w:r>
    </w:p>
    <w:p w14:paraId="00000683" w14:textId="77777777" w:rsidR="00CD3527" w:rsidRDefault="007F4AED">
      <w:pPr>
        <w:pBdr>
          <w:top w:val="nil"/>
          <w:left w:val="nil"/>
          <w:bottom w:val="nil"/>
          <w:right w:val="nil"/>
          <w:between w:val="nil"/>
        </w:pBdr>
        <w:ind w:firstLine="720"/>
        <w:rPr>
          <w:rFonts w:ascii="Cambria" w:eastAsia="Cambria" w:hAnsi="Cambria" w:cs="Cambria"/>
          <w:color w:val="000000"/>
        </w:rPr>
      </w:pPr>
      <w:r>
        <w:rPr>
          <w:rFonts w:ascii="Cambria" w:eastAsia="Cambria" w:hAnsi="Cambria" w:cs="Cambria"/>
          <w:b/>
          <w:color w:val="000000"/>
        </w:rPr>
        <w:t>HUDM 5122 Applied Regression Analysis</w:t>
      </w:r>
    </w:p>
    <w:p w14:paraId="00000684" w14:textId="77777777" w:rsidR="00CD3527" w:rsidRDefault="007F4AED">
      <w:pPr>
        <w:pBdr>
          <w:top w:val="nil"/>
          <w:left w:val="nil"/>
          <w:bottom w:val="nil"/>
          <w:right w:val="nil"/>
          <w:between w:val="nil"/>
        </w:pBdr>
        <w:ind w:firstLine="720"/>
        <w:rPr>
          <w:rFonts w:ascii="Cambria" w:eastAsia="Cambria" w:hAnsi="Cambria" w:cs="Cambria"/>
          <w:color w:val="000000"/>
        </w:rPr>
      </w:pPr>
      <w:r>
        <w:rPr>
          <w:rFonts w:ascii="Cambria" w:eastAsia="Cambria" w:hAnsi="Cambria" w:cs="Cambria"/>
          <w:b/>
          <w:color w:val="000000"/>
        </w:rPr>
        <w:t>HUDM 5123 Linear Models and Experimental Design</w:t>
      </w:r>
    </w:p>
    <w:p w14:paraId="00000685" w14:textId="77777777" w:rsidR="00CD3527" w:rsidRDefault="00CD3527">
      <w:pPr>
        <w:pBdr>
          <w:top w:val="nil"/>
          <w:left w:val="nil"/>
          <w:bottom w:val="nil"/>
          <w:right w:val="nil"/>
          <w:between w:val="nil"/>
        </w:pBdr>
        <w:rPr>
          <w:rFonts w:ascii="Cambria" w:eastAsia="Cambria" w:hAnsi="Cambria" w:cs="Cambria"/>
          <w:color w:val="000000"/>
        </w:rPr>
      </w:pPr>
    </w:p>
    <w:p w14:paraId="00000686"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10. </w:t>
      </w:r>
      <w:r>
        <w:rPr>
          <w:rFonts w:ascii="Cambria" w:eastAsia="Cambria" w:hAnsi="Cambria" w:cs="Cambria"/>
          <w:color w:val="000000"/>
          <w:u w:val="single"/>
        </w:rPr>
        <w:t>Human Development</w:t>
      </w:r>
    </w:p>
    <w:p w14:paraId="00000687"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ab/>
      </w:r>
      <w:r>
        <w:rPr>
          <w:rFonts w:ascii="Cambria" w:eastAsia="Cambria" w:hAnsi="Cambria" w:cs="Cambria"/>
          <w:b/>
          <w:color w:val="000000"/>
        </w:rPr>
        <w:t>HUDK 6520: Seminar in life span development</w:t>
      </w:r>
    </w:p>
    <w:p w14:paraId="00000688"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b/>
          <w:color w:val="000000"/>
        </w:rPr>
        <w:tab/>
      </w:r>
    </w:p>
    <w:p w14:paraId="00000689"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11. </w:t>
      </w:r>
      <w:r>
        <w:rPr>
          <w:rFonts w:ascii="Cambria" w:eastAsia="Cambria" w:hAnsi="Cambria" w:cs="Cambria"/>
          <w:color w:val="000000"/>
          <w:u w:val="single"/>
        </w:rPr>
        <w:t>Dysfunctional Behavior or Psychopathology</w:t>
      </w:r>
    </w:p>
    <w:p w14:paraId="0000068A" w14:textId="77777777" w:rsidR="00CD3527" w:rsidRDefault="007F4AED">
      <w:pPr>
        <w:pBdr>
          <w:top w:val="nil"/>
          <w:left w:val="nil"/>
          <w:bottom w:val="nil"/>
          <w:right w:val="nil"/>
          <w:between w:val="nil"/>
        </w:pBdr>
        <w:ind w:firstLine="720"/>
        <w:rPr>
          <w:rFonts w:ascii="Cambria" w:eastAsia="Cambria" w:hAnsi="Cambria" w:cs="Cambria"/>
          <w:color w:val="000000"/>
        </w:rPr>
      </w:pPr>
      <w:r>
        <w:rPr>
          <w:rFonts w:ascii="Cambria" w:eastAsia="Cambria" w:hAnsi="Cambria" w:cs="Cambria"/>
          <w:b/>
          <w:color w:val="000000"/>
        </w:rPr>
        <w:t>CCPX 5034: Child psychopathology</w:t>
      </w:r>
    </w:p>
    <w:p w14:paraId="0000068B" w14:textId="77777777" w:rsidR="00CD3527" w:rsidRDefault="007F4AED">
      <w:pPr>
        <w:pBdr>
          <w:top w:val="nil"/>
          <w:left w:val="nil"/>
          <w:bottom w:val="nil"/>
          <w:right w:val="nil"/>
          <w:between w:val="nil"/>
        </w:pBdr>
        <w:ind w:firstLine="720"/>
        <w:rPr>
          <w:rFonts w:ascii="Cambria" w:eastAsia="Cambria" w:hAnsi="Cambria" w:cs="Cambria"/>
          <w:color w:val="000000"/>
        </w:rPr>
      </w:pPr>
      <w:r>
        <w:rPr>
          <w:rFonts w:ascii="Cambria" w:eastAsia="Cambria" w:hAnsi="Cambria" w:cs="Cambria"/>
          <w:b/>
          <w:color w:val="000000"/>
        </w:rPr>
        <w:t>CCPX 5032: Adult psychopathology</w:t>
      </w:r>
    </w:p>
    <w:p w14:paraId="0000068C" w14:textId="77777777" w:rsidR="00CD3527" w:rsidRDefault="00CD3527">
      <w:pPr>
        <w:pBdr>
          <w:top w:val="nil"/>
          <w:left w:val="nil"/>
          <w:bottom w:val="nil"/>
          <w:right w:val="nil"/>
          <w:between w:val="nil"/>
        </w:pBdr>
        <w:rPr>
          <w:rFonts w:ascii="Cambria" w:eastAsia="Cambria" w:hAnsi="Cambria" w:cs="Cambria"/>
          <w:color w:val="000000"/>
        </w:rPr>
      </w:pPr>
    </w:p>
    <w:p w14:paraId="0000068D"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12. </w:t>
      </w:r>
      <w:r>
        <w:rPr>
          <w:rFonts w:ascii="Cambria" w:eastAsia="Cambria" w:hAnsi="Cambria" w:cs="Cambria"/>
          <w:color w:val="000000"/>
          <w:u w:val="single"/>
        </w:rPr>
        <w:t>Professional Standards and Ethics</w:t>
      </w:r>
    </w:p>
    <w:p w14:paraId="0000068E" w14:textId="77777777" w:rsidR="00CD3527" w:rsidRDefault="007F4AED">
      <w:pPr>
        <w:pBdr>
          <w:top w:val="nil"/>
          <w:left w:val="nil"/>
          <w:bottom w:val="nil"/>
          <w:right w:val="nil"/>
          <w:between w:val="nil"/>
        </w:pBdr>
        <w:ind w:firstLine="720"/>
        <w:rPr>
          <w:rFonts w:ascii="Cambria" w:eastAsia="Cambria" w:hAnsi="Cambria" w:cs="Cambria"/>
          <w:color w:val="000000"/>
        </w:rPr>
      </w:pPr>
      <w:r>
        <w:rPr>
          <w:rFonts w:ascii="Cambria" w:eastAsia="Cambria" w:hAnsi="Cambria" w:cs="Cambria"/>
          <w:b/>
          <w:color w:val="000000"/>
        </w:rPr>
        <w:t>CCPX 5030: Ethical and professional issues in clinical psychology</w:t>
      </w:r>
    </w:p>
    <w:p w14:paraId="0000068F" w14:textId="77777777" w:rsidR="00CD3527" w:rsidRDefault="00CD3527">
      <w:pPr>
        <w:pBdr>
          <w:top w:val="nil"/>
          <w:left w:val="nil"/>
          <w:bottom w:val="nil"/>
          <w:right w:val="nil"/>
          <w:between w:val="nil"/>
        </w:pBdr>
        <w:rPr>
          <w:rFonts w:ascii="Cambria" w:eastAsia="Cambria" w:hAnsi="Cambria" w:cs="Cambria"/>
          <w:color w:val="000000"/>
        </w:rPr>
      </w:pPr>
    </w:p>
    <w:p w14:paraId="00000690"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13. </w:t>
      </w:r>
      <w:r>
        <w:rPr>
          <w:rFonts w:ascii="Cambria" w:eastAsia="Cambria" w:hAnsi="Cambria" w:cs="Cambria"/>
          <w:color w:val="000000"/>
          <w:u w:val="single"/>
        </w:rPr>
        <w:t>Theories and Methods of Assessment and Diagnosis</w:t>
      </w:r>
    </w:p>
    <w:p w14:paraId="00000691" w14:textId="77777777" w:rsidR="00CD3527" w:rsidRDefault="007F4AED">
      <w:pPr>
        <w:pBdr>
          <w:top w:val="nil"/>
          <w:left w:val="nil"/>
          <w:bottom w:val="nil"/>
          <w:right w:val="nil"/>
          <w:between w:val="nil"/>
        </w:pBdr>
        <w:ind w:left="720"/>
        <w:rPr>
          <w:rFonts w:ascii="Cambria" w:eastAsia="Cambria" w:hAnsi="Cambria" w:cs="Cambria"/>
          <w:color w:val="000000"/>
        </w:rPr>
      </w:pPr>
      <w:r>
        <w:rPr>
          <w:rFonts w:ascii="Cambria" w:eastAsia="Cambria" w:hAnsi="Cambria" w:cs="Cambria"/>
          <w:b/>
          <w:color w:val="000000"/>
        </w:rPr>
        <w:t>CCPX 5333: Practicum in clinical assessment</w:t>
      </w:r>
    </w:p>
    <w:p w14:paraId="00000692" w14:textId="77777777" w:rsidR="00CD3527" w:rsidRDefault="007F4AED">
      <w:pPr>
        <w:pBdr>
          <w:top w:val="nil"/>
          <w:left w:val="nil"/>
          <w:bottom w:val="nil"/>
          <w:right w:val="nil"/>
          <w:between w:val="nil"/>
        </w:pBdr>
        <w:ind w:left="720"/>
        <w:rPr>
          <w:rFonts w:ascii="Cambria" w:eastAsia="Cambria" w:hAnsi="Cambria" w:cs="Cambria"/>
          <w:color w:val="000000"/>
        </w:rPr>
      </w:pPr>
      <w:r>
        <w:rPr>
          <w:rFonts w:ascii="Cambria" w:eastAsia="Cambria" w:hAnsi="Cambria" w:cs="Cambria"/>
          <w:b/>
          <w:color w:val="000000"/>
        </w:rPr>
        <w:t>CCPX 5539: Clinical assessment: The intake interview</w:t>
      </w:r>
    </w:p>
    <w:p w14:paraId="00000693" w14:textId="77777777" w:rsidR="00CD3527" w:rsidRDefault="00CD3527">
      <w:pPr>
        <w:pBdr>
          <w:top w:val="nil"/>
          <w:left w:val="nil"/>
          <w:bottom w:val="nil"/>
          <w:right w:val="nil"/>
          <w:between w:val="nil"/>
        </w:pBdr>
        <w:rPr>
          <w:rFonts w:ascii="Cambria" w:eastAsia="Cambria" w:hAnsi="Cambria" w:cs="Cambria"/>
          <w:color w:val="000000"/>
        </w:rPr>
      </w:pPr>
    </w:p>
    <w:p w14:paraId="00000694"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b/>
          <w:color w:val="000000"/>
        </w:rPr>
        <w:t>1</w:t>
      </w:r>
      <w:r>
        <w:rPr>
          <w:rFonts w:ascii="Cambria" w:eastAsia="Cambria" w:hAnsi="Cambria" w:cs="Cambria"/>
          <w:color w:val="000000"/>
        </w:rPr>
        <w:t xml:space="preserve">4. </w:t>
      </w:r>
      <w:r>
        <w:rPr>
          <w:rFonts w:ascii="Cambria" w:eastAsia="Cambria" w:hAnsi="Cambria" w:cs="Cambria"/>
          <w:color w:val="000000"/>
          <w:u w:val="single"/>
        </w:rPr>
        <w:t>Effective Intervention</w:t>
      </w:r>
    </w:p>
    <w:p w14:paraId="00000695" w14:textId="77777777" w:rsidR="00CD3527" w:rsidRDefault="007F4AED">
      <w:pPr>
        <w:pBdr>
          <w:top w:val="nil"/>
          <w:left w:val="nil"/>
          <w:bottom w:val="nil"/>
          <w:right w:val="nil"/>
          <w:between w:val="nil"/>
        </w:pBdr>
        <w:ind w:firstLine="720"/>
        <w:rPr>
          <w:rFonts w:ascii="Cambria" w:eastAsia="Cambria" w:hAnsi="Cambria" w:cs="Cambria"/>
          <w:color w:val="000000"/>
        </w:rPr>
      </w:pPr>
      <w:r>
        <w:rPr>
          <w:rFonts w:ascii="Cambria" w:eastAsia="Cambria" w:hAnsi="Cambria" w:cs="Cambria"/>
          <w:b/>
          <w:color w:val="000000"/>
        </w:rPr>
        <w:t>CCPX 5038: Cognitive, behavioral, and interpersonal (IPT) therapies</w:t>
      </w:r>
    </w:p>
    <w:p w14:paraId="00000696" w14:textId="77777777" w:rsidR="00CD3527" w:rsidRDefault="00CD3527">
      <w:pPr>
        <w:pBdr>
          <w:top w:val="nil"/>
          <w:left w:val="nil"/>
          <w:bottom w:val="nil"/>
          <w:right w:val="nil"/>
          <w:between w:val="nil"/>
        </w:pBdr>
        <w:rPr>
          <w:rFonts w:ascii="Cambria" w:eastAsia="Cambria" w:hAnsi="Cambria" w:cs="Cambria"/>
          <w:color w:val="000000"/>
        </w:rPr>
      </w:pPr>
    </w:p>
    <w:p w14:paraId="00000697"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15. </w:t>
      </w:r>
      <w:r>
        <w:rPr>
          <w:rFonts w:ascii="Cambria" w:eastAsia="Cambria" w:hAnsi="Cambria" w:cs="Cambria"/>
          <w:color w:val="000000"/>
          <w:u w:val="single"/>
        </w:rPr>
        <w:t>Consultation and Supervision</w:t>
      </w:r>
    </w:p>
    <w:p w14:paraId="00000698" w14:textId="77777777" w:rsidR="00CD3527" w:rsidRDefault="007F4AED">
      <w:pPr>
        <w:pBdr>
          <w:top w:val="nil"/>
          <w:left w:val="nil"/>
          <w:bottom w:val="nil"/>
          <w:right w:val="nil"/>
          <w:between w:val="nil"/>
        </w:pBdr>
        <w:ind w:firstLine="720"/>
        <w:rPr>
          <w:rFonts w:ascii="Cambria" w:eastAsia="Cambria" w:hAnsi="Cambria" w:cs="Cambria"/>
          <w:color w:val="000000"/>
        </w:rPr>
      </w:pPr>
      <w:r>
        <w:rPr>
          <w:rFonts w:ascii="Cambria" w:eastAsia="Cambria" w:hAnsi="Cambria" w:cs="Cambria"/>
          <w:b/>
          <w:color w:val="000000"/>
        </w:rPr>
        <w:t xml:space="preserve">CCPX 6333: Practicum in clinical supervision and consultation </w:t>
      </w:r>
    </w:p>
    <w:p w14:paraId="00000699" w14:textId="77777777" w:rsidR="00CD3527" w:rsidRDefault="00CD3527">
      <w:pPr>
        <w:pBdr>
          <w:top w:val="nil"/>
          <w:left w:val="nil"/>
          <w:bottom w:val="nil"/>
          <w:right w:val="nil"/>
          <w:between w:val="nil"/>
        </w:pBdr>
        <w:rPr>
          <w:rFonts w:ascii="Cambria" w:eastAsia="Cambria" w:hAnsi="Cambria" w:cs="Cambria"/>
          <w:color w:val="000000"/>
        </w:rPr>
      </w:pPr>
    </w:p>
    <w:p w14:paraId="0000069A"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16. </w:t>
      </w:r>
      <w:r>
        <w:rPr>
          <w:rFonts w:ascii="Cambria" w:eastAsia="Cambria" w:hAnsi="Cambria" w:cs="Cambria"/>
          <w:color w:val="000000"/>
          <w:u w:val="single"/>
        </w:rPr>
        <w:t>Evaluating the Efficacy of Interventions</w:t>
      </w:r>
    </w:p>
    <w:p w14:paraId="0000069B"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b/>
          <w:color w:val="000000"/>
        </w:rPr>
        <w:tab/>
        <w:t>CCPX 5038: Cognitive, behavioral, and interpersonal (IPT) therapies</w:t>
      </w:r>
    </w:p>
    <w:p w14:paraId="0000069C"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b/>
          <w:color w:val="000000"/>
        </w:rPr>
        <w:tab/>
        <w:t xml:space="preserve">CCPX 6335: Practicum in clinical intervention </w:t>
      </w:r>
    </w:p>
    <w:p w14:paraId="0000069D" w14:textId="77777777" w:rsidR="00CD3527" w:rsidRDefault="00CD3527">
      <w:pPr>
        <w:pBdr>
          <w:top w:val="nil"/>
          <w:left w:val="nil"/>
          <w:bottom w:val="nil"/>
          <w:right w:val="nil"/>
          <w:between w:val="nil"/>
        </w:pBdr>
        <w:rPr>
          <w:rFonts w:ascii="Cambria" w:eastAsia="Cambria" w:hAnsi="Cambria" w:cs="Cambria"/>
          <w:color w:val="000000"/>
          <w:u w:val="single"/>
        </w:rPr>
      </w:pPr>
    </w:p>
    <w:p w14:paraId="0000069E"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u w:val="single"/>
        </w:rPr>
        <w:t>All courses noted must be taken for three (3) points and for letter grades</w:t>
      </w:r>
      <w:r>
        <w:rPr>
          <w:rFonts w:ascii="Cambria" w:eastAsia="Cambria" w:hAnsi="Cambria" w:cs="Cambria"/>
          <w:color w:val="000000"/>
        </w:rPr>
        <w:t>. Students who have already completed clearly equivalent graduate level courses at TC or elsewhere with grades of B+ or higher and who wish an exemption or modification of any part(s) of this requirement should consult with their advisors. If an exemption or modification is granted, the student should get a written statement to that effect for his or her file.</w:t>
      </w:r>
    </w:p>
    <w:p w14:paraId="0000069F" w14:textId="77777777" w:rsidR="00CD3527" w:rsidRDefault="007F4AED">
      <w:pPr>
        <w:pStyle w:val="Heading3"/>
      </w:pPr>
      <w:bookmarkStart w:id="72" w:name="_heading=h.kgcv8k" w:colFirst="0" w:colLast="0"/>
      <w:bookmarkEnd w:id="72"/>
      <w:r>
        <w:t xml:space="preserve">Licensing </w:t>
      </w:r>
    </w:p>
    <w:p w14:paraId="000006A0" w14:textId="77777777" w:rsidR="00CD3527" w:rsidRDefault="00CD3527">
      <w:pPr>
        <w:pBdr>
          <w:top w:val="nil"/>
          <w:left w:val="nil"/>
          <w:bottom w:val="nil"/>
          <w:right w:val="nil"/>
          <w:between w:val="nil"/>
        </w:pBdr>
        <w:rPr>
          <w:rFonts w:ascii="Cambria" w:eastAsia="Cambria" w:hAnsi="Cambria" w:cs="Cambria"/>
          <w:color w:val="000000"/>
        </w:rPr>
      </w:pPr>
    </w:p>
    <w:p w14:paraId="000006A1" w14:textId="77777777" w:rsidR="00CD3527" w:rsidRDefault="007F4AED">
      <w:pPr>
        <w:rPr>
          <w:rFonts w:ascii="Cambria" w:eastAsia="Cambria" w:hAnsi="Cambria" w:cs="Cambria"/>
        </w:rPr>
      </w:pPr>
      <w:r>
        <w:rPr>
          <w:rFonts w:ascii="Cambria" w:eastAsia="Cambria" w:hAnsi="Cambria" w:cs="Cambria"/>
          <w:color w:val="000000"/>
        </w:rPr>
        <w:t xml:space="preserve">Check the website the state you hope to practice in for updated regulations. For New York, check the NYS Education Department for requirements and an application form to sit for the licensing exam: </w:t>
      </w:r>
      <w:hyperlink r:id="rId105">
        <w:r>
          <w:rPr>
            <w:rFonts w:ascii="Cambria" w:eastAsia="Cambria" w:hAnsi="Cambria" w:cs="Cambria"/>
            <w:color w:val="0000FF"/>
            <w:u w:val="single"/>
          </w:rPr>
          <w:t>http://www.op.nysed.gov/prof/psych/psychlic.htm</w:t>
        </w:r>
      </w:hyperlink>
      <w:r>
        <w:rPr>
          <w:rFonts w:ascii="Cambria" w:eastAsia="Cambria" w:hAnsi="Cambria" w:cs="Cambria"/>
          <w:color w:val="000000"/>
        </w:rPr>
        <w:t xml:space="preserve">. </w:t>
      </w:r>
    </w:p>
    <w:p w14:paraId="000006A2" w14:textId="77777777" w:rsidR="00CD3527" w:rsidRDefault="007F4AED">
      <w:pPr>
        <w:pStyle w:val="Heading1"/>
      </w:pPr>
      <w:bookmarkStart w:id="73" w:name="_heading=h.34g0dwd" w:colFirst="0" w:colLast="0"/>
      <w:bookmarkEnd w:id="73"/>
      <w:r>
        <w:br w:type="page"/>
      </w:r>
      <w:r>
        <w:lastRenderedPageBreak/>
        <w:t>Standards of Accreditation for Doctoral Programs</w:t>
      </w:r>
    </w:p>
    <w:p w14:paraId="000006A3" w14:textId="77777777" w:rsidR="00CD3527" w:rsidRDefault="00CD3527">
      <w:pPr>
        <w:jc w:val="center"/>
        <w:rPr>
          <w:rFonts w:ascii="Cambria" w:eastAsia="Cambria" w:hAnsi="Cambria" w:cs="Cambria"/>
          <w:b/>
        </w:rPr>
      </w:pPr>
    </w:p>
    <w:p w14:paraId="000006A4" w14:textId="77777777" w:rsidR="00CD3527" w:rsidRDefault="007F4AED">
      <w:pPr>
        <w:jc w:val="center"/>
        <w:rPr>
          <w:rFonts w:ascii="Cambria" w:eastAsia="Cambria" w:hAnsi="Cambria" w:cs="Cambria"/>
          <w:b/>
          <w:sz w:val="28"/>
          <w:szCs w:val="28"/>
        </w:rPr>
      </w:pPr>
      <w:r>
        <w:rPr>
          <w:rFonts w:ascii="Cambria" w:eastAsia="Cambria" w:hAnsi="Cambria" w:cs="Cambria"/>
          <w:b/>
          <w:sz w:val="28"/>
          <w:szCs w:val="28"/>
        </w:rPr>
        <w:t>I. Institutional and Program Context</w:t>
      </w:r>
    </w:p>
    <w:p w14:paraId="000006A5" w14:textId="77777777" w:rsidR="00CD3527" w:rsidRDefault="00CD3527">
      <w:pPr>
        <w:jc w:val="center"/>
        <w:rPr>
          <w:rFonts w:ascii="Cambria" w:eastAsia="Cambria" w:hAnsi="Cambria" w:cs="Cambria"/>
          <w:b/>
        </w:rPr>
      </w:pPr>
    </w:p>
    <w:p w14:paraId="000006A6" w14:textId="77777777" w:rsidR="00CD3527" w:rsidRDefault="007F4AED">
      <w:pPr>
        <w:rPr>
          <w:rFonts w:ascii="Cambria" w:eastAsia="Cambria" w:hAnsi="Cambria" w:cs="Cambria"/>
          <w:b/>
        </w:rPr>
      </w:pPr>
      <w:r>
        <w:rPr>
          <w:rFonts w:ascii="Cambria" w:eastAsia="Cambria" w:hAnsi="Cambria" w:cs="Cambria"/>
          <w:b/>
        </w:rPr>
        <w:t>A. Type of Program  </w:t>
      </w:r>
    </w:p>
    <w:p w14:paraId="000006A7" w14:textId="77777777" w:rsidR="00CD3527" w:rsidRDefault="007F4AED">
      <w:pPr>
        <w:numPr>
          <w:ilvl w:val="0"/>
          <w:numId w:val="16"/>
        </w:num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Health Service Psychology.</w:t>
      </w:r>
      <w:r>
        <w:rPr>
          <w:rFonts w:ascii="Cambria" w:eastAsia="Cambria" w:hAnsi="Cambria" w:cs="Cambria"/>
          <w:color w:val="000000"/>
        </w:rPr>
        <w:t xml:space="preserve"> The program offers broad and general doctoral education and training that includes preparation in health service psychology (HSP). Although HSP encompasses a range of practice areas, degree types, and career paths, certain elements are common to training in the profession. A program that is accredited in health service psychology must demonstrate that it contains the following elements: </w:t>
      </w:r>
    </w:p>
    <w:p w14:paraId="000006A8" w14:textId="77777777" w:rsidR="00CD3527" w:rsidRDefault="007F4AED">
      <w:pPr>
        <w:numPr>
          <w:ilvl w:val="1"/>
          <w:numId w:val="17"/>
        </w:numPr>
        <w:pBdr>
          <w:top w:val="nil"/>
          <w:left w:val="nil"/>
          <w:bottom w:val="nil"/>
          <w:right w:val="nil"/>
          <w:between w:val="nil"/>
        </w:pBdr>
        <w:ind w:left="1800"/>
        <w:rPr>
          <w:rFonts w:ascii="Cambria" w:eastAsia="Cambria" w:hAnsi="Cambria" w:cs="Cambria"/>
          <w:b/>
          <w:color w:val="000000"/>
        </w:rPr>
      </w:pPr>
      <w:r>
        <w:rPr>
          <w:rFonts w:ascii="Cambria" w:eastAsia="Cambria" w:hAnsi="Cambria" w:cs="Cambria"/>
          <w:color w:val="000000"/>
        </w:rPr>
        <w:t>Integration of empirical evidence and practice: Practice is evidence‐based, and evidence is practice‐informed.</w:t>
      </w:r>
    </w:p>
    <w:p w14:paraId="000006A9" w14:textId="77777777" w:rsidR="00CD3527" w:rsidRDefault="007F4AED">
      <w:pPr>
        <w:numPr>
          <w:ilvl w:val="1"/>
          <w:numId w:val="17"/>
        </w:numPr>
        <w:pBdr>
          <w:top w:val="nil"/>
          <w:left w:val="nil"/>
          <w:bottom w:val="nil"/>
          <w:right w:val="nil"/>
          <w:between w:val="nil"/>
        </w:pBdr>
        <w:ind w:left="1800"/>
        <w:rPr>
          <w:rFonts w:ascii="Cambria" w:eastAsia="Cambria" w:hAnsi="Cambria" w:cs="Cambria"/>
          <w:b/>
          <w:color w:val="000000"/>
        </w:rPr>
      </w:pPr>
      <w:r>
        <w:rPr>
          <w:rFonts w:ascii="Cambria" w:eastAsia="Cambria" w:hAnsi="Cambria" w:cs="Cambria"/>
          <w:color w:val="000000"/>
        </w:rPr>
        <w:t>Training is sequential, cumulative, graded in complexity, and designed to prepare students for practice or further organized training.</w:t>
      </w:r>
    </w:p>
    <w:p w14:paraId="000006AA" w14:textId="77777777" w:rsidR="00CD3527" w:rsidRDefault="007F4AED">
      <w:pPr>
        <w:numPr>
          <w:ilvl w:val="1"/>
          <w:numId w:val="17"/>
        </w:numPr>
        <w:pBdr>
          <w:top w:val="nil"/>
          <w:left w:val="nil"/>
          <w:bottom w:val="nil"/>
          <w:right w:val="nil"/>
          <w:between w:val="nil"/>
        </w:pBdr>
        <w:ind w:left="1800"/>
        <w:rPr>
          <w:rFonts w:ascii="Cambria" w:eastAsia="Cambria" w:hAnsi="Cambria" w:cs="Cambria"/>
          <w:b/>
          <w:color w:val="000000"/>
        </w:rPr>
      </w:pPr>
      <w:r>
        <w:rPr>
          <w:rFonts w:ascii="Cambria" w:eastAsia="Cambria" w:hAnsi="Cambria" w:cs="Cambria"/>
          <w:color w:val="000000"/>
        </w:rPr>
        <w:t>The program engages in actions that indicate respect for and understanding of cultural and individual differences and diversity.</w:t>
      </w:r>
    </w:p>
    <w:p w14:paraId="000006AB" w14:textId="77777777" w:rsidR="00CD3527" w:rsidRDefault="007F4AED">
      <w:pPr>
        <w:numPr>
          <w:ilvl w:val="0"/>
          <w:numId w:val="17"/>
        </w:numPr>
        <w:pBdr>
          <w:top w:val="nil"/>
          <w:left w:val="nil"/>
          <w:bottom w:val="nil"/>
          <w:right w:val="nil"/>
          <w:between w:val="nil"/>
        </w:pBdr>
        <w:ind w:left="1440"/>
        <w:rPr>
          <w:rFonts w:ascii="Cambria" w:eastAsia="Cambria" w:hAnsi="Cambria" w:cs="Cambria"/>
          <w:b/>
          <w:color w:val="000000"/>
        </w:rPr>
      </w:pPr>
      <w:r>
        <w:rPr>
          <w:rFonts w:ascii="Cambria" w:eastAsia="Cambria" w:hAnsi="Cambria" w:cs="Cambria"/>
          <w:b/>
          <w:color w:val="000000"/>
        </w:rPr>
        <w:t>Practice Area.</w:t>
      </w:r>
      <w:r>
        <w:rPr>
          <w:rFonts w:ascii="Cambria" w:eastAsia="Cambria" w:hAnsi="Cambria" w:cs="Cambria"/>
          <w:color w:val="000000"/>
        </w:rPr>
        <w:t xml:space="preserve"> Health service psychology includes several practice areas in which an accredited program may focus, including the areas of clinical psychology, counseling psychology, school psychology, combinations of these areas, and other developed practice areas.   </w:t>
      </w:r>
    </w:p>
    <w:p w14:paraId="000006AC" w14:textId="77777777" w:rsidR="00CD3527" w:rsidRDefault="00CD3527">
      <w:pPr>
        <w:rPr>
          <w:rFonts w:ascii="Cambria" w:eastAsia="Cambria" w:hAnsi="Cambria" w:cs="Cambria"/>
        </w:rPr>
      </w:pPr>
    </w:p>
    <w:p w14:paraId="000006AD" w14:textId="77777777" w:rsidR="00CD3527" w:rsidRDefault="007F4AED">
      <w:pPr>
        <w:rPr>
          <w:rFonts w:ascii="Cambria" w:eastAsia="Cambria" w:hAnsi="Cambria" w:cs="Cambria"/>
          <w:b/>
        </w:rPr>
      </w:pPr>
      <w:r>
        <w:rPr>
          <w:rFonts w:ascii="Cambria" w:eastAsia="Cambria" w:hAnsi="Cambria" w:cs="Cambria"/>
          <w:b/>
        </w:rPr>
        <w:t xml:space="preserve">B. Institutional and Administrative Structure </w:t>
      </w:r>
    </w:p>
    <w:p w14:paraId="000006AE" w14:textId="77777777" w:rsidR="00CD3527" w:rsidRDefault="007F4AED">
      <w:pPr>
        <w:numPr>
          <w:ilvl w:val="3"/>
          <w:numId w:val="17"/>
        </w:numPr>
        <w:pBdr>
          <w:top w:val="nil"/>
          <w:left w:val="nil"/>
          <w:bottom w:val="nil"/>
          <w:right w:val="nil"/>
          <w:between w:val="nil"/>
        </w:pBdr>
        <w:ind w:left="1440"/>
        <w:rPr>
          <w:rFonts w:ascii="Cambria" w:eastAsia="Cambria" w:hAnsi="Cambria" w:cs="Cambria"/>
          <w:b/>
          <w:color w:val="000000"/>
        </w:rPr>
      </w:pPr>
      <w:r>
        <w:rPr>
          <w:rFonts w:ascii="Cambria" w:eastAsia="Cambria" w:hAnsi="Cambria" w:cs="Cambria"/>
          <w:b/>
          <w:color w:val="000000"/>
        </w:rPr>
        <w:t>Administrative Structure.</w:t>
      </w:r>
      <w:r>
        <w:rPr>
          <w:rFonts w:ascii="Cambria" w:eastAsia="Cambria" w:hAnsi="Cambria" w:cs="Cambria"/>
          <w:color w:val="000000"/>
        </w:rPr>
        <w:t xml:space="preserve"> The program’s purpose must be pursued in an institutional setting appropriate for doctoral education and training in health service psychology. The institution must have a clear administrative structure and commitment to the doctoral program.</w:t>
      </w:r>
    </w:p>
    <w:p w14:paraId="000006AF" w14:textId="77777777" w:rsidR="00CD3527" w:rsidRDefault="007F4AED">
      <w:pPr>
        <w:numPr>
          <w:ilvl w:val="4"/>
          <w:numId w:val="17"/>
        </w:numPr>
        <w:pBdr>
          <w:top w:val="nil"/>
          <w:left w:val="nil"/>
          <w:bottom w:val="nil"/>
          <w:right w:val="nil"/>
          <w:between w:val="nil"/>
        </w:pBdr>
        <w:ind w:left="1800"/>
        <w:rPr>
          <w:rFonts w:ascii="Cambria" w:eastAsia="Cambria" w:hAnsi="Cambria" w:cs="Cambria"/>
          <w:color w:val="000000"/>
        </w:rPr>
      </w:pPr>
      <w:r>
        <w:rPr>
          <w:rFonts w:ascii="Cambria" w:eastAsia="Cambria" w:hAnsi="Cambria" w:cs="Cambria"/>
          <w:color w:val="000000"/>
        </w:rPr>
        <w:t>The sponsoring institution of higher education must be authorized under applicable law or other acceptable authority to provide a program of postsecondary education and have appropriate graduate degree‐granting authority. This includes state authorization and accreditation of the institution by a nationally recognized regional accrediting body in the United States.</w:t>
      </w:r>
    </w:p>
    <w:p w14:paraId="000006B0" w14:textId="77777777" w:rsidR="00CD3527" w:rsidRDefault="007F4AED">
      <w:pPr>
        <w:numPr>
          <w:ilvl w:val="4"/>
          <w:numId w:val="17"/>
        </w:numPr>
        <w:pBdr>
          <w:top w:val="nil"/>
          <w:left w:val="nil"/>
          <w:bottom w:val="nil"/>
          <w:right w:val="nil"/>
          <w:between w:val="nil"/>
        </w:pBdr>
        <w:ind w:left="1800"/>
        <w:rPr>
          <w:rFonts w:ascii="Cambria" w:eastAsia="Cambria" w:hAnsi="Cambria" w:cs="Cambria"/>
          <w:color w:val="000000"/>
        </w:rPr>
      </w:pPr>
      <w:r>
        <w:rPr>
          <w:rFonts w:ascii="Cambria" w:eastAsia="Cambria" w:hAnsi="Cambria" w:cs="Cambria"/>
          <w:color w:val="000000"/>
        </w:rPr>
        <w:t>The program is an integral part of the mission of the academic department, college, school, or institution in which it resides. It is represented in the institution’s operating budget and plans in a manner that supports the training mission of the program. Funding and resources are stable and enable the program to achieve its aims.</w:t>
      </w:r>
    </w:p>
    <w:p w14:paraId="000006B1" w14:textId="77777777" w:rsidR="00CD3527" w:rsidRDefault="007F4AED">
      <w:pPr>
        <w:numPr>
          <w:ilvl w:val="3"/>
          <w:numId w:val="17"/>
        </w:numPr>
        <w:pBdr>
          <w:top w:val="nil"/>
          <w:left w:val="nil"/>
          <w:bottom w:val="nil"/>
          <w:right w:val="nil"/>
          <w:between w:val="nil"/>
        </w:pBdr>
        <w:ind w:left="1440"/>
        <w:rPr>
          <w:rFonts w:ascii="Cambria" w:eastAsia="Cambria" w:hAnsi="Cambria" w:cs="Cambria"/>
          <w:b/>
          <w:color w:val="000000"/>
        </w:rPr>
      </w:pPr>
      <w:r>
        <w:rPr>
          <w:rFonts w:ascii="Cambria" w:eastAsia="Cambria" w:hAnsi="Cambria" w:cs="Cambria"/>
          <w:b/>
          <w:color w:val="000000"/>
        </w:rPr>
        <w:t>Administrative Responsibilities Related to Cultural and Individual Differences and Diversity.</w:t>
      </w:r>
      <w:r>
        <w:rPr>
          <w:rFonts w:ascii="Cambria" w:eastAsia="Cambria" w:hAnsi="Cambria" w:cs="Cambria"/>
          <w:color w:val="000000"/>
        </w:rPr>
        <w:t xml:space="preserve"> The program recognizes the importance of cultural and individual differences and diversity in the training of psychologists. The Commission on Accreditation defines cultural and individual differences and diversity as including, but not limited to, age, disability, ethnicity, gender, gender identity, language, national origin, </w:t>
      </w:r>
      <w:r>
        <w:rPr>
          <w:rFonts w:ascii="Cambria" w:eastAsia="Cambria" w:hAnsi="Cambria" w:cs="Cambria"/>
          <w:color w:val="000000"/>
        </w:rPr>
        <w:lastRenderedPageBreak/>
        <w:t>race, religion, culture, sexual orientation, and socioeconomic status. The program has made systematic, coherent, and long‐term efforts to attract and retain students and faculty from diverse backgrounds into the program. Consistent with such efforts, it acts to ensure a supportive and encouraging learning environment appropriate for the training of individuals who are diverse and the provision of training opportunities for a broad spectrum of individuals. Further, the program avoids any actions that would restrict program access on grounds that are irrelevant to success in graduate training, either directly or by imposing significant and disproportionate burdens on the basis of the personal and demographic characteristics set forth in the definition of cultural diversity.   Because of the United States’ rich diverse higher education landscape, training can take place in both secular and faith‐based settings. Thus this requirement does not exclude programs from having a religious affiliation or purpose and adopting and applying admission and employment policies that directly relate to this affiliation or purpose, so long as public notice of these policies has been made to applicants, students, faculty, and staff before their application or affiliation with the program. These policies may provide a preference for persons adhering to the religious purpose or affiliation of the program, but they shall not be used to preclude the admission, hiring, or retention of individuals because of the personal and demographic characteristics set forth under the definition of cultural diversity. This provision is intended to permit religious policies as to admission, retention, and employment only to the extent that they are protected by the U.S. Constitution. This provision will be administered as if the U.S. Constitution governed its application. Notwithstanding the above, and regardless of a program’s setting, the program may not constrain academic freedom or otherwise alter the requirements of these standards. Finally, compelling pedagogical interests require that each program prepare graduates to navigate cultural and individual differences in research and practice, including those that may produce value conflicts or other tensions arising from the intersection of different areas of diversity.</w:t>
      </w:r>
    </w:p>
    <w:p w14:paraId="000006B2" w14:textId="77777777" w:rsidR="00CD3527" w:rsidRDefault="00CD3527">
      <w:pPr>
        <w:rPr>
          <w:rFonts w:ascii="Cambria" w:eastAsia="Cambria" w:hAnsi="Cambria" w:cs="Cambria"/>
          <w:b/>
        </w:rPr>
      </w:pPr>
    </w:p>
    <w:p w14:paraId="000006B3" w14:textId="77777777" w:rsidR="00CD3527" w:rsidRDefault="007F4AED">
      <w:pPr>
        <w:rPr>
          <w:rFonts w:ascii="Cambria" w:eastAsia="Cambria" w:hAnsi="Cambria" w:cs="Cambria"/>
          <w:b/>
        </w:rPr>
      </w:pPr>
      <w:r>
        <w:rPr>
          <w:rFonts w:ascii="Cambria" w:eastAsia="Cambria" w:hAnsi="Cambria" w:cs="Cambria"/>
          <w:b/>
        </w:rPr>
        <w:t>C. Program Context and Resources</w:t>
      </w:r>
    </w:p>
    <w:p w14:paraId="000006B4" w14:textId="77777777" w:rsidR="00CD3527" w:rsidRDefault="007F4AED">
      <w:pPr>
        <w:numPr>
          <w:ilvl w:val="0"/>
          <w:numId w:val="1"/>
        </w:num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 xml:space="preserve">Program Administration and Structure   </w:t>
      </w:r>
    </w:p>
    <w:p w14:paraId="000006B5" w14:textId="77777777" w:rsidR="00CD3527" w:rsidRDefault="007F4AED">
      <w:pPr>
        <w:numPr>
          <w:ilvl w:val="1"/>
          <w:numId w:val="6"/>
        </w:numPr>
        <w:pBdr>
          <w:top w:val="nil"/>
          <w:left w:val="nil"/>
          <w:bottom w:val="nil"/>
          <w:right w:val="nil"/>
          <w:between w:val="nil"/>
        </w:pBdr>
        <w:ind w:left="1800"/>
        <w:rPr>
          <w:rFonts w:ascii="Cambria" w:eastAsia="Cambria" w:hAnsi="Cambria" w:cs="Cambria"/>
          <w:color w:val="000000"/>
        </w:rPr>
      </w:pPr>
      <w:r>
        <w:rPr>
          <w:rFonts w:ascii="Cambria" w:eastAsia="Cambria" w:hAnsi="Cambria" w:cs="Cambria"/>
          <w:color w:val="000000"/>
        </w:rPr>
        <w:t>Program Leadership. The program has consistent and stable leadership with a designated leader who is a doctoral‐level psychologist and a member of the core faculty. The program leader’s credentials and expertise must be in an area covered by HSP accreditation and must be consistent with the program’s aims. This leadership position may be held by more than one individual.</w:t>
      </w:r>
    </w:p>
    <w:p w14:paraId="000006B6" w14:textId="77777777" w:rsidR="00CD3527" w:rsidRDefault="007F4AED">
      <w:pPr>
        <w:numPr>
          <w:ilvl w:val="1"/>
          <w:numId w:val="6"/>
        </w:numPr>
        <w:pBdr>
          <w:top w:val="nil"/>
          <w:left w:val="nil"/>
          <w:bottom w:val="nil"/>
          <w:right w:val="nil"/>
          <w:between w:val="nil"/>
        </w:pBdr>
        <w:ind w:left="1800"/>
        <w:rPr>
          <w:rFonts w:ascii="Cambria" w:eastAsia="Cambria" w:hAnsi="Cambria" w:cs="Cambria"/>
          <w:color w:val="000000"/>
        </w:rPr>
      </w:pPr>
      <w:r>
        <w:rPr>
          <w:rFonts w:ascii="Cambria" w:eastAsia="Cambria" w:hAnsi="Cambria" w:cs="Cambria"/>
          <w:color w:val="000000"/>
        </w:rPr>
        <w:t xml:space="preserve">Program Administration. The program has designated procedures and personnel responsible for making decisions about the program, including curriculum, student selection and evaluation, and program </w:t>
      </w:r>
      <w:r>
        <w:rPr>
          <w:rFonts w:ascii="Cambria" w:eastAsia="Cambria" w:hAnsi="Cambria" w:cs="Cambria"/>
          <w:color w:val="000000"/>
        </w:rPr>
        <w:lastRenderedPageBreak/>
        <w:t>maintenance and improvement. The program’s decision‐making procedures, including who is involved in decision making, must be consistent with the missions of the institution and department, and with the program’s aims. The program ensures a stable educational environment through its personnel and faculty leadership.</w:t>
      </w:r>
    </w:p>
    <w:p w14:paraId="000006B7" w14:textId="77777777" w:rsidR="00CD3527" w:rsidRDefault="007F4AED">
      <w:pPr>
        <w:numPr>
          <w:ilvl w:val="0"/>
          <w:numId w:val="6"/>
        </w:numPr>
        <w:pBdr>
          <w:top w:val="nil"/>
          <w:left w:val="nil"/>
          <w:bottom w:val="nil"/>
          <w:right w:val="nil"/>
          <w:between w:val="nil"/>
        </w:pBdr>
        <w:ind w:left="1440"/>
        <w:rPr>
          <w:rFonts w:ascii="Cambria" w:eastAsia="Cambria" w:hAnsi="Cambria" w:cs="Cambria"/>
          <w:b/>
          <w:color w:val="000000"/>
        </w:rPr>
      </w:pPr>
      <w:r>
        <w:rPr>
          <w:rFonts w:ascii="Cambria" w:eastAsia="Cambria" w:hAnsi="Cambria" w:cs="Cambria"/>
          <w:b/>
          <w:color w:val="000000"/>
        </w:rPr>
        <w:t xml:space="preserve">Length of Degree and Residency. </w:t>
      </w:r>
      <w:r>
        <w:rPr>
          <w:rFonts w:ascii="Cambria" w:eastAsia="Cambria" w:hAnsi="Cambria" w:cs="Cambria"/>
          <w:color w:val="000000"/>
        </w:rPr>
        <w:t xml:space="preserve">The program has policies regarding program length and residency that permit faculty, training staff, supervisors, and administrators to execute their professional, ethical, and potentially legal obligations to promote student development, socialization and peer interaction, faculty role modeling and the development and assessment of student competencies. Residency provides students with mentoring and supervision regarding their development and socialization into the profession, as well as continuous monitoring and assessment of student development through live face‐to‐face, in‐person interaction with faculty and students. These obligations cannot be met in programs that are substantially or completely online. At a minimum, the program must require that each student successfully complete: </w:t>
      </w:r>
    </w:p>
    <w:p w14:paraId="000006B8" w14:textId="77777777" w:rsidR="00CD3527" w:rsidRDefault="007F4AED">
      <w:pPr>
        <w:numPr>
          <w:ilvl w:val="1"/>
          <w:numId w:val="6"/>
        </w:numPr>
        <w:pBdr>
          <w:top w:val="nil"/>
          <w:left w:val="nil"/>
          <w:bottom w:val="nil"/>
          <w:right w:val="nil"/>
          <w:between w:val="nil"/>
        </w:pBdr>
        <w:ind w:left="1800"/>
        <w:rPr>
          <w:rFonts w:ascii="Cambria" w:eastAsia="Cambria" w:hAnsi="Cambria" w:cs="Cambria"/>
          <w:color w:val="000000"/>
        </w:rPr>
      </w:pPr>
      <w:r>
        <w:rPr>
          <w:rFonts w:ascii="Cambria" w:eastAsia="Cambria" w:hAnsi="Cambria" w:cs="Cambria"/>
          <w:color w:val="000000"/>
        </w:rPr>
        <w:t xml:space="preserve">a minimum of 3 full‐time academic years of graduate study (or the equivalent thereof) plus an internship prior to receiving the doctoral degree; </w:t>
      </w:r>
    </w:p>
    <w:p w14:paraId="000006B9" w14:textId="77777777" w:rsidR="00CD3527" w:rsidRDefault="007F4AED">
      <w:pPr>
        <w:numPr>
          <w:ilvl w:val="1"/>
          <w:numId w:val="6"/>
        </w:numPr>
        <w:pBdr>
          <w:top w:val="nil"/>
          <w:left w:val="nil"/>
          <w:bottom w:val="nil"/>
          <w:right w:val="nil"/>
          <w:between w:val="nil"/>
        </w:pBdr>
        <w:ind w:left="1800"/>
        <w:rPr>
          <w:rFonts w:ascii="Cambria" w:eastAsia="Cambria" w:hAnsi="Cambria" w:cs="Cambria"/>
          <w:color w:val="000000"/>
        </w:rPr>
      </w:pPr>
      <w:r>
        <w:rPr>
          <w:rFonts w:ascii="Cambria" w:eastAsia="Cambria" w:hAnsi="Cambria" w:cs="Cambria"/>
          <w:color w:val="000000"/>
        </w:rPr>
        <w:t xml:space="preserve">at least 2 of the 3 academic training years (or the equivalent thereof) within the program from which the doctoral degree is granted; </w:t>
      </w:r>
    </w:p>
    <w:p w14:paraId="000006BA" w14:textId="77777777" w:rsidR="00CD3527" w:rsidRDefault="007F4AED">
      <w:pPr>
        <w:numPr>
          <w:ilvl w:val="1"/>
          <w:numId w:val="6"/>
        </w:numPr>
        <w:pBdr>
          <w:top w:val="nil"/>
          <w:left w:val="nil"/>
          <w:bottom w:val="nil"/>
          <w:right w:val="nil"/>
          <w:between w:val="nil"/>
        </w:pBdr>
        <w:ind w:left="1800"/>
        <w:rPr>
          <w:rFonts w:ascii="Cambria" w:eastAsia="Cambria" w:hAnsi="Cambria" w:cs="Cambria"/>
          <w:color w:val="000000"/>
        </w:rPr>
      </w:pPr>
      <w:r>
        <w:rPr>
          <w:rFonts w:ascii="Cambria" w:eastAsia="Cambria" w:hAnsi="Cambria" w:cs="Cambria"/>
          <w:color w:val="000000"/>
        </w:rPr>
        <w:t xml:space="preserve">at least 1 year of which must be in full‐time residence (or the equivalent thereof) at that same program. Programs seeking to satisfy the requirement of one year of full‐ time residency based on “the equivalent thereof” must demonstrate how the proposed equivalence achieves all the purposes of the residency requirement.  </w:t>
      </w:r>
    </w:p>
    <w:p w14:paraId="000006BB" w14:textId="77777777" w:rsidR="00CD3527" w:rsidRDefault="007F4AED">
      <w:pPr>
        <w:numPr>
          <w:ilvl w:val="0"/>
          <w:numId w:val="6"/>
        </w:numPr>
        <w:pBdr>
          <w:top w:val="nil"/>
          <w:left w:val="nil"/>
          <w:bottom w:val="nil"/>
          <w:right w:val="nil"/>
          <w:between w:val="nil"/>
        </w:pBdr>
        <w:ind w:left="1440"/>
        <w:rPr>
          <w:rFonts w:ascii="Cambria" w:eastAsia="Cambria" w:hAnsi="Cambria" w:cs="Cambria"/>
          <w:b/>
          <w:color w:val="000000"/>
        </w:rPr>
      </w:pPr>
      <w:r>
        <w:rPr>
          <w:rFonts w:ascii="Cambria" w:eastAsia="Cambria" w:hAnsi="Cambria" w:cs="Cambria"/>
          <w:b/>
          <w:color w:val="000000"/>
        </w:rPr>
        <w:t xml:space="preserve">Partnerships/Consortia. </w:t>
      </w:r>
      <w:r>
        <w:rPr>
          <w:rFonts w:ascii="Cambria" w:eastAsia="Cambria" w:hAnsi="Cambria" w:cs="Cambria"/>
          <w:color w:val="000000"/>
        </w:rPr>
        <w:t>A graduate program may consist of, or be located under, a single administrative entity (e.g., institution, agency, school, or department) or in a partnership or consortium among separate administrative entities. A consortium is comprised of multiple independently administered entities that have, in writing, formally agreed to pool resources to conduct a training or education program.</w:t>
      </w:r>
      <w:r>
        <w:rPr>
          <w:rFonts w:ascii="Cambria" w:eastAsia="Cambria" w:hAnsi="Cambria" w:cs="Cambria"/>
          <w:b/>
          <w:color w:val="000000"/>
        </w:rPr>
        <w:t xml:space="preserve">   </w:t>
      </w:r>
    </w:p>
    <w:p w14:paraId="000006BC" w14:textId="77777777" w:rsidR="00CD3527" w:rsidRDefault="007F4AED">
      <w:pPr>
        <w:numPr>
          <w:ilvl w:val="0"/>
          <w:numId w:val="6"/>
        </w:numPr>
        <w:pBdr>
          <w:top w:val="nil"/>
          <w:left w:val="nil"/>
          <w:bottom w:val="nil"/>
          <w:right w:val="nil"/>
          <w:between w:val="nil"/>
        </w:pBdr>
        <w:ind w:left="1440"/>
        <w:rPr>
          <w:rFonts w:ascii="Cambria" w:eastAsia="Cambria" w:hAnsi="Cambria" w:cs="Cambria"/>
          <w:b/>
          <w:color w:val="000000"/>
        </w:rPr>
      </w:pPr>
      <w:r>
        <w:rPr>
          <w:rFonts w:ascii="Cambria" w:eastAsia="Cambria" w:hAnsi="Cambria" w:cs="Cambria"/>
          <w:b/>
          <w:color w:val="000000"/>
        </w:rPr>
        <w:t xml:space="preserve">Resources. </w:t>
      </w:r>
      <w:r>
        <w:rPr>
          <w:rFonts w:ascii="Cambria" w:eastAsia="Cambria" w:hAnsi="Cambria" w:cs="Cambria"/>
          <w:color w:val="000000"/>
        </w:rPr>
        <w:t xml:space="preserve">The program has, and appropriately utilizes, the resources it needs to achieve its training aims, including student acquisition and demonstration of competencies. The program works with its academic unit and/or the administration of the sponsor institution to develop a plan for the acquisition of additional resources that may be necessary for program maintenance and development. The resources should include the following: </w:t>
      </w:r>
    </w:p>
    <w:p w14:paraId="000006BD" w14:textId="77777777" w:rsidR="00CD3527" w:rsidRDefault="007F4AED">
      <w:pPr>
        <w:numPr>
          <w:ilvl w:val="1"/>
          <w:numId w:val="6"/>
        </w:numPr>
        <w:pBdr>
          <w:top w:val="nil"/>
          <w:left w:val="nil"/>
          <w:bottom w:val="nil"/>
          <w:right w:val="nil"/>
          <w:between w:val="nil"/>
        </w:pBdr>
        <w:ind w:left="1800"/>
        <w:rPr>
          <w:rFonts w:ascii="Cambria" w:eastAsia="Cambria" w:hAnsi="Cambria" w:cs="Cambria"/>
          <w:color w:val="000000"/>
        </w:rPr>
      </w:pPr>
      <w:r>
        <w:rPr>
          <w:rFonts w:ascii="Cambria" w:eastAsia="Cambria" w:hAnsi="Cambria" w:cs="Cambria"/>
          <w:color w:val="000000"/>
        </w:rPr>
        <w:t xml:space="preserve">financial support for training and educational activities; </w:t>
      </w:r>
    </w:p>
    <w:p w14:paraId="000006BE" w14:textId="77777777" w:rsidR="00CD3527" w:rsidRDefault="007F4AED">
      <w:pPr>
        <w:numPr>
          <w:ilvl w:val="1"/>
          <w:numId w:val="6"/>
        </w:numPr>
        <w:pBdr>
          <w:top w:val="nil"/>
          <w:left w:val="nil"/>
          <w:bottom w:val="nil"/>
          <w:right w:val="nil"/>
          <w:between w:val="nil"/>
        </w:pBdr>
        <w:ind w:left="1800"/>
        <w:rPr>
          <w:rFonts w:ascii="Cambria" w:eastAsia="Cambria" w:hAnsi="Cambria" w:cs="Cambria"/>
          <w:color w:val="000000"/>
        </w:rPr>
      </w:pPr>
      <w:r>
        <w:rPr>
          <w:rFonts w:ascii="Cambria" w:eastAsia="Cambria" w:hAnsi="Cambria" w:cs="Cambria"/>
          <w:color w:val="000000"/>
        </w:rPr>
        <w:t xml:space="preserve">clerical, technical, and electronic support; </w:t>
      </w:r>
    </w:p>
    <w:p w14:paraId="000006BF" w14:textId="77777777" w:rsidR="00CD3527" w:rsidRDefault="007F4AED">
      <w:pPr>
        <w:numPr>
          <w:ilvl w:val="1"/>
          <w:numId w:val="6"/>
        </w:numPr>
        <w:pBdr>
          <w:top w:val="nil"/>
          <w:left w:val="nil"/>
          <w:bottom w:val="nil"/>
          <w:right w:val="nil"/>
          <w:between w:val="nil"/>
        </w:pBdr>
        <w:ind w:left="1800"/>
        <w:rPr>
          <w:rFonts w:ascii="Cambria" w:eastAsia="Cambria" w:hAnsi="Cambria" w:cs="Cambria"/>
          <w:color w:val="000000"/>
        </w:rPr>
      </w:pPr>
      <w:r>
        <w:rPr>
          <w:rFonts w:ascii="Cambria" w:eastAsia="Cambria" w:hAnsi="Cambria" w:cs="Cambria"/>
          <w:color w:val="000000"/>
        </w:rPr>
        <w:t xml:space="preserve">training materials and equipment; </w:t>
      </w:r>
    </w:p>
    <w:p w14:paraId="000006C0" w14:textId="77777777" w:rsidR="00CD3527" w:rsidRDefault="007F4AED">
      <w:pPr>
        <w:numPr>
          <w:ilvl w:val="1"/>
          <w:numId w:val="6"/>
        </w:numPr>
        <w:pBdr>
          <w:top w:val="nil"/>
          <w:left w:val="nil"/>
          <w:bottom w:val="nil"/>
          <w:right w:val="nil"/>
          <w:between w:val="nil"/>
        </w:pBdr>
        <w:ind w:left="1800"/>
        <w:rPr>
          <w:rFonts w:ascii="Cambria" w:eastAsia="Cambria" w:hAnsi="Cambria" w:cs="Cambria"/>
          <w:color w:val="000000"/>
        </w:rPr>
      </w:pPr>
      <w:r>
        <w:rPr>
          <w:rFonts w:ascii="Cambria" w:eastAsia="Cambria" w:hAnsi="Cambria" w:cs="Cambria"/>
          <w:color w:val="000000"/>
        </w:rPr>
        <w:t>physical facilities;</w:t>
      </w:r>
    </w:p>
    <w:p w14:paraId="000006C1" w14:textId="77777777" w:rsidR="00CD3527" w:rsidRDefault="007F4AED">
      <w:pPr>
        <w:numPr>
          <w:ilvl w:val="1"/>
          <w:numId w:val="6"/>
        </w:numPr>
        <w:pBdr>
          <w:top w:val="nil"/>
          <w:left w:val="nil"/>
          <w:bottom w:val="nil"/>
          <w:right w:val="nil"/>
          <w:between w:val="nil"/>
        </w:pBdr>
        <w:ind w:left="1800"/>
        <w:rPr>
          <w:rFonts w:ascii="Cambria" w:eastAsia="Cambria" w:hAnsi="Cambria" w:cs="Cambria"/>
          <w:color w:val="000000"/>
        </w:rPr>
      </w:pPr>
      <w:r>
        <w:rPr>
          <w:rFonts w:ascii="Cambria" w:eastAsia="Cambria" w:hAnsi="Cambria" w:cs="Cambria"/>
          <w:color w:val="000000"/>
        </w:rPr>
        <w:lastRenderedPageBreak/>
        <w:t>services to support students with academic, financial, health, and personal issues;</w:t>
      </w:r>
    </w:p>
    <w:p w14:paraId="000006C2" w14:textId="77777777" w:rsidR="00CD3527" w:rsidRDefault="007F4AED">
      <w:pPr>
        <w:numPr>
          <w:ilvl w:val="1"/>
          <w:numId w:val="6"/>
        </w:numPr>
        <w:pBdr>
          <w:top w:val="nil"/>
          <w:left w:val="nil"/>
          <w:bottom w:val="nil"/>
          <w:right w:val="nil"/>
          <w:between w:val="nil"/>
        </w:pBdr>
        <w:ind w:left="1800"/>
        <w:rPr>
          <w:rFonts w:ascii="Cambria" w:eastAsia="Cambria" w:hAnsi="Cambria" w:cs="Cambria"/>
          <w:color w:val="000000"/>
        </w:rPr>
      </w:pPr>
      <w:r>
        <w:rPr>
          <w:rFonts w:ascii="Cambria" w:eastAsia="Cambria" w:hAnsi="Cambria" w:cs="Cambria"/>
          <w:color w:val="000000"/>
        </w:rPr>
        <w:t>sufficient and appropriate practicum experiences to allow a program to effectively achieve the program’s training aims.</w:t>
      </w:r>
    </w:p>
    <w:p w14:paraId="000006C3" w14:textId="77777777" w:rsidR="00CD3527" w:rsidRDefault="00CD3527">
      <w:pPr>
        <w:rPr>
          <w:rFonts w:ascii="Cambria" w:eastAsia="Cambria" w:hAnsi="Cambria" w:cs="Cambria"/>
        </w:rPr>
      </w:pPr>
    </w:p>
    <w:p w14:paraId="000006C4" w14:textId="77777777" w:rsidR="00CD3527" w:rsidRDefault="007F4AED">
      <w:pPr>
        <w:rPr>
          <w:rFonts w:ascii="Cambria" w:eastAsia="Cambria" w:hAnsi="Cambria" w:cs="Cambria"/>
          <w:b/>
        </w:rPr>
      </w:pPr>
      <w:r>
        <w:rPr>
          <w:rFonts w:ascii="Cambria" w:eastAsia="Cambria" w:hAnsi="Cambria" w:cs="Cambria"/>
          <w:b/>
        </w:rPr>
        <w:t>D. Program Policies and Procedures</w:t>
      </w:r>
    </w:p>
    <w:p w14:paraId="000006C5" w14:textId="77777777" w:rsidR="00CD3527" w:rsidRDefault="007F4AED">
      <w:pPr>
        <w:numPr>
          <w:ilvl w:val="3"/>
          <w:numId w:val="9"/>
        </w:numPr>
        <w:pBdr>
          <w:top w:val="nil"/>
          <w:left w:val="nil"/>
          <w:bottom w:val="nil"/>
          <w:right w:val="nil"/>
          <w:between w:val="nil"/>
        </w:pBdr>
        <w:ind w:left="1440"/>
        <w:rPr>
          <w:rFonts w:ascii="Cambria" w:eastAsia="Cambria" w:hAnsi="Cambria" w:cs="Cambria"/>
          <w:color w:val="000000"/>
        </w:rPr>
      </w:pPr>
      <w:r>
        <w:rPr>
          <w:rFonts w:ascii="Cambria" w:eastAsia="Cambria" w:hAnsi="Cambria" w:cs="Cambria"/>
          <w:b/>
          <w:color w:val="000000"/>
        </w:rPr>
        <w:t xml:space="preserve">Areas of Coverage. </w:t>
      </w:r>
      <w:r>
        <w:rPr>
          <w:rFonts w:ascii="Cambria" w:eastAsia="Cambria" w:hAnsi="Cambria" w:cs="Cambria"/>
          <w:color w:val="000000"/>
        </w:rPr>
        <w:t xml:space="preserve">The program has and adheres to formal written policies and procedures that govern students as they enter, progress through, and matriculate from the program. These must include policies relevant to:   </w:t>
      </w:r>
    </w:p>
    <w:p w14:paraId="000006C6" w14:textId="77777777" w:rsidR="00CD3527" w:rsidRDefault="007F4AED">
      <w:pPr>
        <w:numPr>
          <w:ilvl w:val="4"/>
          <w:numId w:val="9"/>
        </w:numPr>
        <w:pBdr>
          <w:top w:val="nil"/>
          <w:left w:val="nil"/>
          <w:bottom w:val="nil"/>
          <w:right w:val="nil"/>
          <w:between w:val="nil"/>
        </w:pBdr>
        <w:ind w:left="1800"/>
        <w:rPr>
          <w:rFonts w:ascii="Cambria" w:eastAsia="Cambria" w:hAnsi="Cambria" w:cs="Cambria"/>
          <w:color w:val="000000"/>
        </w:rPr>
      </w:pPr>
      <w:r>
        <w:rPr>
          <w:rFonts w:ascii="Cambria" w:eastAsia="Cambria" w:hAnsi="Cambria" w:cs="Cambria"/>
          <w:color w:val="000000"/>
        </w:rPr>
        <w:t xml:space="preserve">academic recruitment and admissions, including general recruitment/admissions and recruitment of students who are diverse.   </w:t>
      </w:r>
    </w:p>
    <w:p w14:paraId="000006C7" w14:textId="77777777" w:rsidR="00CD3527" w:rsidRDefault="007F4AED">
      <w:pPr>
        <w:numPr>
          <w:ilvl w:val="4"/>
          <w:numId w:val="9"/>
        </w:numPr>
        <w:pBdr>
          <w:top w:val="nil"/>
          <w:left w:val="nil"/>
          <w:bottom w:val="nil"/>
          <w:right w:val="nil"/>
          <w:between w:val="nil"/>
        </w:pBdr>
        <w:ind w:left="1800"/>
        <w:rPr>
          <w:rFonts w:ascii="Cambria" w:eastAsia="Cambria" w:hAnsi="Cambria" w:cs="Cambria"/>
          <w:color w:val="000000"/>
        </w:rPr>
      </w:pPr>
      <w:r>
        <w:rPr>
          <w:rFonts w:ascii="Cambria" w:eastAsia="Cambria" w:hAnsi="Cambria" w:cs="Cambria"/>
          <w:color w:val="000000"/>
        </w:rPr>
        <w:t xml:space="preserve">degree requirements;   </w:t>
      </w:r>
    </w:p>
    <w:p w14:paraId="000006C8" w14:textId="77777777" w:rsidR="00CD3527" w:rsidRDefault="007F4AED">
      <w:pPr>
        <w:numPr>
          <w:ilvl w:val="4"/>
          <w:numId w:val="9"/>
        </w:numPr>
        <w:pBdr>
          <w:top w:val="nil"/>
          <w:left w:val="nil"/>
          <w:bottom w:val="nil"/>
          <w:right w:val="nil"/>
          <w:between w:val="nil"/>
        </w:pBdr>
        <w:ind w:left="1800"/>
        <w:rPr>
          <w:rFonts w:ascii="Cambria" w:eastAsia="Cambria" w:hAnsi="Cambria" w:cs="Cambria"/>
          <w:color w:val="000000"/>
        </w:rPr>
      </w:pPr>
      <w:r>
        <w:rPr>
          <w:rFonts w:ascii="Cambria" w:eastAsia="Cambria" w:hAnsi="Cambria" w:cs="Cambria"/>
          <w:color w:val="000000"/>
        </w:rPr>
        <w:t xml:space="preserve">administrative and financial assistance;   </w:t>
      </w:r>
    </w:p>
    <w:p w14:paraId="000006C9" w14:textId="77777777" w:rsidR="00CD3527" w:rsidRDefault="007F4AED">
      <w:pPr>
        <w:numPr>
          <w:ilvl w:val="4"/>
          <w:numId w:val="9"/>
        </w:numPr>
        <w:pBdr>
          <w:top w:val="nil"/>
          <w:left w:val="nil"/>
          <w:bottom w:val="nil"/>
          <w:right w:val="nil"/>
          <w:between w:val="nil"/>
        </w:pBdr>
        <w:ind w:left="1800"/>
        <w:rPr>
          <w:rFonts w:ascii="Cambria" w:eastAsia="Cambria" w:hAnsi="Cambria" w:cs="Cambria"/>
          <w:color w:val="000000"/>
        </w:rPr>
      </w:pPr>
      <w:r>
        <w:rPr>
          <w:rFonts w:ascii="Cambria" w:eastAsia="Cambria" w:hAnsi="Cambria" w:cs="Cambria"/>
          <w:color w:val="000000"/>
        </w:rPr>
        <w:t xml:space="preserve">student performance evaluation, feedback, advisement, retention, and termination decisions;   </w:t>
      </w:r>
    </w:p>
    <w:p w14:paraId="000006CA" w14:textId="77777777" w:rsidR="00CD3527" w:rsidRDefault="007F4AED">
      <w:pPr>
        <w:numPr>
          <w:ilvl w:val="4"/>
          <w:numId w:val="9"/>
        </w:numPr>
        <w:pBdr>
          <w:top w:val="nil"/>
          <w:left w:val="nil"/>
          <w:bottom w:val="nil"/>
          <w:right w:val="nil"/>
          <w:between w:val="nil"/>
        </w:pBdr>
        <w:ind w:left="1800"/>
        <w:rPr>
          <w:rFonts w:ascii="Cambria" w:eastAsia="Cambria" w:hAnsi="Cambria" w:cs="Cambria"/>
          <w:color w:val="000000"/>
        </w:rPr>
      </w:pPr>
      <w:r>
        <w:rPr>
          <w:rFonts w:ascii="Cambria" w:eastAsia="Cambria" w:hAnsi="Cambria" w:cs="Cambria"/>
          <w:color w:val="000000"/>
        </w:rPr>
        <w:t xml:space="preserve">due process and grievance procedures; </w:t>
      </w:r>
    </w:p>
    <w:p w14:paraId="000006CB" w14:textId="77777777" w:rsidR="00CD3527" w:rsidRDefault="007F4AED">
      <w:pPr>
        <w:numPr>
          <w:ilvl w:val="4"/>
          <w:numId w:val="9"/>
        </w:numPr>
        <w:pBdr>
          <w:top w:val="nil"/>
          <w:left w:val="nil"/>
          <w:bottom w:val="nil"/>
          <w:right w:val="nil"/>
          <w:between w:val="nil"/>
        </w:pBdr>
        <w:ind w:left="1800"/>
        <w:rPr>
          <w:rFonts w:ascii="Cambria" w:eastAsia="Cambria" w:hAnsi="Cambria" w:cs="Cambria"/>
          <w:color w:val="000000"/>
        </w:rPr>
      </w:pPr>
      <w:r>
        <w:rPr>
          <w:rFonts w:ascii="Cambria" w:eastAsia="Cambria" w:hAnsi="Cambria" w:cs="Cambria"/>
          <w:color w:val="000000"/>
        </w:rPr>
        <w:t xml:space="preserve">student rights, responsibilities, and professional development; </w:t>
      </w:r>
    </w:p>
    <w:p w14:paraId="000006CC" w14:textId="77777777" w:rsidR="00CD3527" w:rsidRDefault="007F4AED">
      <w:pPr>
        <w:numPr>
          <w:ilvl w:val="4"/>
          <w:numId w:val="9"/>
        </w:numPr>
        <w:pBdr>
          <w:top w:val="nil"/>
          <w:left w:val="nil"/>
          <w:bottom w:val="nil"/>
          <w:right w:val="nil"/>
          <w:between w:val="nil"/>
        </w:pBdr>
        <w:ind w:left="1800"/>
        <w:rPr>
          <w:rFonts w:ascii="Cambria" w:eastAsia="Cambria" w:hAnsi="Cambria" w:cs="Cambria"/>
          <w:color w:val="000000"/>
        </w:rPr>
      </w:pPr>
      <w:r>
        <w:rPr>
          <w:rFonts w:ascii="Cambria" w:eastAsia="Cambria" w:hAnsi="Cambria" w:cs="Cambria"/>
          <w:color w:val="000000"/>
        </w:rPr>
        <w:t xml:space="preserve">nondiscrimination policies. The program must document nondiscriminatory policies and operating conditions and avoidance of any actions that would restrict program access or completion on grounds that are irrelevant to success in graduate training or the profession.  </w:t>
      </w:r>
    </w:p>
    <w:p w14:paraId="000006CD" w14:textId="77777777" w:rsidR="00CD3527" w:rsidRDefault="007F4AED">
      <w:pPr>
        <w:numPr>
          <w:ilvl w:val="3"/>
          <w:numId w:val="9"/>
        </w:numPr>
        <w:pBdr>
          <w:top w:val="nil"/>
          <w:left w:val="nil"/>
          <w:bottom w:val="nil"/>
          <w:right w:val="nil"/>
          <w:between w:val="nil"/>
        </w:pBdr>
        <w:ind w:left="1440"/>
        <w:rPr>
          <w:rFonts w:ascii="Cambria" w:eastAsia="Cambria" w:hAnsi="Cambria" w:cs="Cambria"/>
          <w:b/>
          <w:color w:val="000000"/>
        </w:rPr>
      </w:pPr>
      <w:r>
        <w:rPr>
          <w:rFonts w:ascii="Cambria" w:eastAsia="Cambria" w:hAnsi="Cambria" w:cs="Cambria"/>
          <w:b/>
          <w:color w:val="000000"/>
        </w:rPr>
        <w:t xml:space="preserve">Implementation. </w:t>
      </w:r>
      <w:r>
        <w:rPr>
          <w:rFonts w:ascii="Cambria" w:eastAsia="Cambria" w:hAnsi="Cambria" w:cs="Cambria"/>
          <w:color w:val="000000"/>
        </w:rPr>
        <w:t>All policies and procedures used by the program must be consistent with the profession’s current ethics code and must adhere to their sponsor institution’s regulations and local, state, and federal statutes regarding due process and fair treatment. If the program utilizes policies developed at another level (e.g., department or institution), it must demonstrate how it implements these policies at the program level.</w:t>
      </w:r>
      <w:r>
        <w:rPr>
          <w:rFonts w:ascii="Cambria" w:eastAsia="Cambria" w:hAnsi="Cambria" w:cs="Cambria"/>
          <w:b/>
          <w:color w:val="000000"/>
        </w:rPr>
        <w:t xml:space="preserve"> </w:t>
      </w:r>
    </w:p>
    <w:p w14:paraId="000006CE" w14:textId="77777777" w:rsidR="00CD3527" w:rsidRDefault="007F4AED">
      <w:pPr>
        <w:numPr>
          <w:ilvl w:val="3"/>
          <w:numId w:val="9"/>
        </w:numPr>
        <w:pBdr>
          <w:top w:val="nil"/>
          <w:left w:val="nil"/>
          <w:bottom w:val="nil"/>
          <w:right w:val="nil"/>
          <w:between w:val="nil"/>
        </w:pBdr>
        <w:ind w:left="1440"/>
        <w:rPr>
          <w:rFonts w:ascii="Cambria" w:eastAsia="Cambria" w:hAnsi="Cambria" w:cs="Cambria"/>
          <w:b/>
          <w:color w:val="000000"/>
        </w:rPr>
      </w:pPr>
      <w:r>
        <w:rPr>
          <w:rFonts w:ascii="Cambria" w:eastAsia="Cambria" w:hAnsi="Cambria" w:cs="Cambria"/>
          <w:b/>
          <w:color w:val="000000"/>
        </w:rPr>
        <w:t xml:space="preserve">Availability of Policies and Procedures. </w:t>
      </w:r>
      <w:r>
        <w:rPr>
          <w:rFonts w:ascii="Cambria" w:eastAsia="Cambria" w:hAnsi="Cambria" w:cs="Cambria"/>
          <w:color w:val="000000"/>
        </w:rPr>
        <w:t>The program makes the formal written policies and procedures available to all interested parties. By the time of matriculation, the program provides students with written policies and procedures regarding program and institution requirements and expectations regarding students’ performance and continuance in the program and procedures for the termination of students.</w:t>
      </w:r>
      <w:r>
        <w:rPr>
          <w:rFonts w:ascii="Cambria" w:eastAsia="Cambria" w:hAnsi="Cambria" w:cs="Cambria"/>
          <w:b/>
          <w:color w:val="000000"/>
        </w:rPr>
        <w:t xml:space="preserve">   </w:t>
      </w:r>
    </w:p>
    <w:p w14:paraId="000006CF" w14:textId="77777777" w:rsidR="00CD3527" w:rsidRDefault="007F4AED">
      <w:pPr>
        <w:numPr>
          <w:ilvl w:val="3"/>
          <w:numId w:val="9"/>
        </w:numPr>
        <w:pBdr>
          <w:top w:val="nil"/>
          <w:left w:val="nil"/>
          <w:bottom w:val="nil"/>
          <w:right w:val="nil"/>
          <w:between w:val="nil"/>
        </w:pBdr>
        <w:ind w:left="1440"/>
        <w:rPr>
          <w:rFonts w:ascii="Cambria" w:eastAsia="Cambria" w:hAnsi="Cambria" w:cs="Cambria"/>
          <w:b/>
          <w:color w:val="000000"/>
        </w:rPr>
      </w:pPr>
      <w:r>
        <w:rPr>
          <w:rFonts w:ascii="Cambria" w:eastAsia="Cambria" w:hAnsi="Cambria" w:cs="Cambria"/>
          <w:b/>
          <w:color w:val="000000"/>
        </w:rPr>
        <w:t xml:space="preserve">Record Keeping. </w:t>
      </w:r>
      <w:r>
        <w:rPr>
          <w:rFonts w:ascii="Cambria" w:eastAsia="Cambria" w:hAnsi="Cambria" w:cs="Cambria"/>
          <w:color w:val="000000"/>
        </w:rPr>
        <w:t>The program is responsible for keeping information and records related to student training and complaints/grievances against the program. Records must be maintained in accord with federal, state, and institution policies regarding record keeping and privacy. The Commission on Accreditation will examine student records and programs’ records of student complaints as part of its periodic review of programs.</w:t>
      </w:r>
      <w:r>
        <w:rPr>
          <w:rFonts w:ascii="Cambria" w:eastAsia="Cambria" w:hAnsi="Cambria" w:cs="Cambria"/>
          <w:b/>
          <w:color w:val="000000"/>
        </w:rPr>
        <w:t xml:space="preserve">  </w:t>
      </w:r>
    </w:p>
    <w:p w14:paraId="000006D0" w14:textId="77777777" w:rsidR="00CD3527" w:rsidRDefault="007F4AED">
      <w:pPr>
        <w:numPr>
          <w:ilvl w:val="4"/>
          <w:numId w:val="9"/>
        </w:numPr>
        <w:pBdr>
          <w:top w:val="nil"/>
          <w:left w:val="nil"/>
          <w:bottom w:val="nil"/>
          <w:right w:val="nil"/>
          <w:between w:val="nil"/>
        </w:pBdr>
        <w:ind w:left="1800"/>
        <w:rPr>
          <w:rFonts w:ascii="Cambria" w:eastAsia="Cambria" w:hAnsi="Cambria" w:cs="Cambria"/>
          <w:color w:val="000000"/>
        </w:rPr>
      </w:pPr>
      <w:r>
        <w:rPr>
          <w:rFonts w:ascii="Cambria" w:eastAsia="Cambria" w:hAnsi="Cambria" w:cs="Cambria"/>
          <w:b/>
          <w:color w:val="000000"/>
        </w:rPr>
        <w:t>Student Records.</w:t>
      </w:r>
      <w:r>
        <w:rPr>
          <w:rFonts w:ascii="Cambria" w:eastAsia="Cambria" w:hAnsi="Cambria" w:cs="Cambria"/>
          <w:color w:val="000000"/>
        </w:rPr>
        <w:t xml:space="preserve"> The program must document and maintain accurate records of each student’s education and training </w:t>
      </w:r>
      <w:r>
        <w:rPr>
          <w:rFonts w:ascii="Cambria" w:eastAsia="Cambria" w:hAnsi="Cambria" w:cs="Cambria"/>
          <w:color w:val="000000"/>
        </w:rPr>
        <w:lastRenderedPageBreak/>
        <w:t xml:space="preserve">experiences and evaluations for evidence of the student’s progression through the program, as well as for future reference and credentialing purposes. The program should inform students of its records retention policies. </w:t>
      </w:r>
    </w:p>
    <w:p w14:paraId="000006D1" w14:textId="77777777" w:rsidR="00CD3527" w:rsidRDefault="007F4AED">
      <w:pPr>
        <w:numPr>
          <w:ilvl w:val="4"/>
          <w:numId w:val="9"/>
        </w:numPr>
        <w:pBdr>
          <w:top w:val="nil"/>
          <w:left w:val="nil"/>
          <w:bottom w:val="nil"/>
          <w:right w:val="nil"/>
          <w:between w:val="nil"/>
        </w:pBdr>
        <w:ind w:left="1800"/>
        <w:rPr>
          <w:rFonts w:ascii="Cambria" w:eastAsia="Cambria" w:hAnsi="Cambria" w:cs="Cambria"/>
          <w:color w:val="000000"/>
        </w:rPr>
      </w:pPr>
      <w:r>
        <w:rPr>
          <w:rFonts w:ascii="Cambria" w:eastAsia="Cambria" w:hAnsi="Cambria" w:cs="Cambria"/>
          <w:b/>
          <w:color w:val="000000"/>
        </w:rPr>
        <w:t>Complaints/Grievances.</w:t>
      </w:r>
      <w:r>
        <w:rPr>
          <w:rFonts w:ascii="Cambria" w:eastAsia="Cambria" w:hAnsi="Cambria" w:cs="Cambria"/>
          <w:color w:val="000000"/>
        </w:rPr>
        <w:t xml:space="preserve"> The program must keep records of all formal complaints and grievances of which it is aware that have been submitted or filed against the program and/or against individuals associated with the program since its last accreditation site visit. The Commission on Accreditation will examine a program’s records of student complaints as part of its periodic review of the program.  </w:t>
      </w:r>
    </w:p>
    <w:p w14:paraId="000006D2" w14:textId="77777777" w:rsidR="00CD3527" w:rsidRDefault="00CD3527">
      <w:pPr>
        <w:pBdr>
          <w:top w:val="nil"/>
          <w:left w:val="nil"/>
          <w:bottom w:val="nil"/>
          <w:right w:val="nil"/>
          <w:between w:val="nil"/>
        </w:pBdr>
        <w:ind w:left="1800"/>
        <w:rPr>
          <w:rFonts w:ascii="Cambria" w:eastAsia="Cambria" w:hAnsi="Cambria" w:cs="Cambria"/>
          <w:color w:val="000000"/>
        </w:rPr>
      </w:pPr>
    </w:p>
    <w:p w14:paraId="000006D3" w14:textId="77777777" w:rsidR="00CD3527" w:rsidRDefault="007F4AED">
      <w:pPr>
        <w:pStyle w:val="Heading1"/>
        <w:jc w:val="center"/>
        <w:rPr>
          <w:sz w:val="28"/>
          <w:szCs w:val="28"/>
        </w:rPr>
      </w:pPr>
      <w:bookmarkStart w:id="74" w:name="_heading=h.1jlao46" w:colFirst="0" w:colLast="0"/>
      <w:bookmarkEnd w:id="74"/>
      <w:r>
        <w:rPr>
          <w:sz w:val="28"/>
          <w:szCs w:val="28"/>
        </w:rPr>
        <w:t>II. Aims, Competencies, Curriculum, and Outcomes</w:t>
      </w:r>
    </w:p>
    <w:p w14:paraId="000006D4" w14:textId="77777777" w:rsidR="00CD3527" w:rsidRDefault="00CD3527">
      <w:pPr>
        <w:pBdr>
          <w:top w:val="nil"/>
          <w:left w:val="nil"/>
          <w:bottom w:val="nil"/>
          <w:right w:val="nil"/>
          <w:between w:val="nil"/>
        </w:pBdr>
        <w:rPr>
          <w:rFonts w:ascii="Cambria" w:eastAsia="Cambria" w:hAnsi="Cambria" w:cs="Cambria"/>
          <w:color w:val="000000"/>
        </w:rPr>
      </w:pPr>
    </w:p>
    <w:p w14:paraId="000006D5" w14:textId="77777777" w:rsidR="00CD3527" w:rsidRDefault="007F4AED">
      <w:p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 xml:space="preserve">A. Aims of the Program </w:t>
      </w:r>
    </w:p>
    <w:p w14:paraId="000006D6" w14:textId="77777777" w:rsidR="00CD3527" w:rsidRDefault="007F4AED">
      <w:pPr>
        <w:numPr>
          <w:ilvl w:val="6"/>
          <w:numId w:val="9"/>
        </w:numPr>
        <w:pBdr>
          <w:top w:val="nil"/>
          <w:left w:val="nil"/>
          <w:bottom w:val="nil"/>
          <w:right w:val="nil"/>
          <w:between w:val="nil"/>
        </w:pBdr>
        <w:tabs>
          <w:tab w:val="left" w:pos="1530"/>
        </w:tabs>
        <w:ind w:left="1440"/>
        <w:rPr>
          <w:rFonts w:ascii="Cambria" w:eastAsia="Cambria" w:hAnsi="Cambria" w:cs="Cambria"/>
          <w:color w:val="000000"/>
        </w:rPr>
      </w:pPr>
      <w:r>
        <w:rPr>
          <w:rFonts w:ascii="Cambria" w:eastAsia="Cambria" w:hAnsi="Cambria" w:cs="Cambria"/>
          <w:color w:val="000000"/>
        </w:rPr>
        <w:t>The program must provide information on the aims of its training program that are consistent with health service psychology as defined by these standards, the program's area of psychology, and the degree conferred.</w:t>
      </w:r>
    </w:p>
    <w:p w14:paraId="000006D7" w14:textId="77777777" w:rsidR="00CD3527" w:rsidRDefault="007F4AED">
      <w:pPr>
        <w:numPr>
          <w:ilvl w:val="6"/>
          <w:numId w:val="9"/>
        </w:numPr>
        <w:pBdr>
          <w:top w:val="nil"/>
          <w:left w:val="nil"/>
          <w:bottom w:val="nil"/>
          <w:right w:val="nil"/>
          <w:between w:val="nil"/>
        </w:pBdr>
        <w:tabs>
          <w:tab w:val="left" w:pos="1530"/>
        </w:tabs>
        <w:ind w:left="1440"/>
        <w:rPr>
          <w:rFonts w:ascii="Cambria" w:eastAsia="Cambria" w:hAnsi="Cambria" w:cs="Cambria"/>
          <w:color w:val="000000"/>
        </w:rPr>
      </w:pPr>
      <w:r>
        <w:rPr>
          <w:rFonts w:ascii="Cambria" w:eastAsia="Cambria" w:hAnsi="Cambria" w:cs="Cambria"/>
          <w:color w:val="000000"/>
        </w:rPr>
        <w:t>These aims should reflect the program's approach to training and the outcomes the program targets for its graduates, including the range of targeted career paths.</w:t>
      </w:r>
    </w:p>
    <w:p w14:paraId="000006D8" w14:textId="77777777" w:rsidR="00CD3527" w:rsidRDefault="00CD3527">
      <w:pPr>
        <w:pBdr>
          <w:top w:val="nil"/>
          <w:left w:val="nil"/>
          <w:bottom w:val="nil"/>
          <w:right w:val="nil"/>
          <w:between w:val="nil"/>
        </w:pBdr>
        <w:rPr>
          <w:rFonts w:ascii="Cambria" w:eastAsia="Cambria" w:hAnsi="Cambria" w:cs="Cambria"/>
          <w:color w:val="000000"/>
        </w:rPr>
      </w:pPr>
    </w:p>
    <w:p w14:paraId="000006D9" w14:textId="77777777" w:rsidR="00CD3527" w:rsidRDefault="007F4AED">
      <w:pPr>
        <w:pBdr>
          <w:top w:val="nil"/>
          <w:left w:val="nil"/>
          <w:bottom w:val="nil"/>
          <w:right w:val="nil"/>
          <w:between w:val="nil"/>
        </w:pBdr>
        <w:ind w:left="270" w:hanging="270"/>
        <w:rPr>
          <w:rFonts w:ascii="Cambria" w:eastAsia="Cambria" w:hAnsi="Cambria" w:cs="Cambria"/>
          <w:b/>
          <w:color w:val="000000"/>
        </w:rPr>
      </w:pPr>
      <w:r>
        <w:rPr>
          <w:rFonts w:ascii="Cambria" w:eastAsia="Cambria" w:hAnsi="Cambria" w:cs="Cambria"/>
          <w:b/>
          <w:color w:val="000000"/>
        </w:rPr>
        <w:t xml:space="preserve">B. Discipline‐Specific Knowledge, Profession‐Wide Competencies, and Learning / Curriculum Elements Required by the Profession  </w:t>
      </w:r>
    </w:p>
    <w:p w14:paraId="000006DA" w14:textId="77777777" w:rsidR="00CD3527" w:rsidRDefault="007F4AED">
      <w:pPr>
        <w:numPr>
          <w:ilvl w:val="3"/>
          <w:numId w:val="14"/>
        </w:numPr>
        <w:pBdr>
          <w:top w:val="nil"/>
          <w:left w:val="nil"/>
          <w:bottom w:val="nil"/>
          <w:right w:val="nil"/>
          <w:between w:val="nil"/>
        </w:pBdr>
        <w:ind w:left="1440"/>
        <w:rPr>
          <w:rFonts w:ascii="Cambria" w:eastAsia="Cambria" w:hAnsi="Cambria" w:cs="Cambria"/>
          <w:b/>
          <w:color w:val="000000"/>
        </w:rPr>
      </w:pPr>
      <w:r>
        <w:rPr>
          <w:rFonts w:ascii="Cambria" w:eastAsia="Cambria" w:hAnsi="Cambria" w:cs="Cambria"/>
          <w:b/>
          <w:color w:val="000000"/>
        </w:rPr>
        <w:t xml:space="preserve">Discipline‐Specific Knowledge and Profession‐Wide Competencies. </w:t>
      </w:r>
      <w:r>
        <w:rPr>
          <w:rFonts w:ascii="Cambria" w:eastAsia="Cambria" w:hAnsi="Cambria" w:cs="Cambria"/>
          <w:color w:val="000000"/>
        </w:rPr>
        <w:t>Discipline‐specific knowledge serves as a cornerstone for the establishment of identity in and orientation to health services psychology. Thus, all students in accredited programs should acquire a general knowledge base in the field of psychology, broadly construed, to serve as a foundation for further training in the practice of health service psychology.</w:t>
      </w:r>
    </w:p>
    <w:p w14:paraId="000006DB" w14:textId="77777777" w:rsidR="00CD3527" w:rsidRDefault="007F4AED">
      <w:pPr>
        <w:numPr>
          <w:ilvl w:val="4"/>
          <w:numId w:val="14"/>
        </w:numPr>
        <w:pBdr>
          <w:top w:val="nil"/>
          <w:left w:val="nil"/>
          <w:bottom w:val="nil"/>
          <w:right w:val="nil"/>
          <w:between w:val="nil"/>
        </w:pBdr>
        <w:ind w:left="1800"/>
        <w:rPr>
          <w:rFonts w:ascii="Cambria" w:eastAsia="Cambria" w:hAnsi="Cambria" w:cs="Cambria"/>
          <w:color w:val="000000"/>
        </w:rPr>
      </w:pPr>
      <w:r>
        <w:rPr>
          <w:rFonts w:ascii="Cambria" w:eastAsia="Cambria" w:hAnsi="Cambria" w:cs="Cambria"/>
          <w:color w:val="000000"/>
        </w:rPr>
        <w:t>Discipline‐specific knowledge represents the requisite core knowledge of psychology an individual must have to attain the profession‐wide competencies. Programs may elect to demonstrate discipline‐specific knowledge of students by:</w:t>
      </w:r>
    </w:p>
    <w:p w14:paraId="000006DC" w14:textId="77777777" w:rsidR="00CD3527" w:rsidRDefault="007F4AED">
      <w:pPr>
        <w:numPr>
          <w:ilvl w:val="2"/>
          <w:numId w:val="37"/>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Using student selection criteria that involve standardized assessments of a foundational knowledge base (e.g., GRE subject tests). In this case, the program must describe how the curriculum builds upon this foundational knowledge to enable students to demonstrate graduate level discipline‐specific knowledge.</w:t>
      </w:r>
    </w:p>
    <w:p w14:paraId="000006DD" w14:textId="77777777" w:rsidR="00CD3527" w:rsidRDefault="007F4AED">
      <w:pPr>
        <w:numPr>
          <w:ilvl w:val="2"/>
          <w:numId w:val="37"/>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Providing students with broad exposure to discipline‐specific knowledge. In this case, the program is not required to demonstrate that students have specific foundational knowledge </w:t>
      </w:r>
      <w:r>
        <w:rPr>
          <w:rFonts w:ascii="Cambria" w:eastAsia="Cambria" w:hAnsi="Cambria" w:cs="Cambria"/>
          <w:color w:val="000000"/>
        </w:rPr>
        <w:lastRenderedPageBreak/>
        <w:t>at entry but must describe how the program’s curriculum enables students to demonstrate graduate‐level discipline‐specific knowledge.</w:t>
      </w:r>
    </w:p>
    <w:p w14:paraId="000006DE" w14:textId="77777777" w:rsidR="00CD3527" w:rsidRDefault="007F4AED">
      <w:pPr>
        <w:numPr>
          <w:ilvl w:val="1"/>
          <w:numId w:val="37"/>
        </w:numPr>
        <w:pBdr>
          <w:top w:val="nil"/>
          <w:left w:val="nil"/>
          <w:bottom w:val="nil"/>
          <w:right w:val="nil"/>
          <w:between w:val="nil"/>
        </w:pBdr>
        <w:ind w:left="1800"/>
        <w:rPr>
          <w:rFonts w:ascii="Cambria" w:eastAsia="Cambria" w:hAnsi="Cambria" w:cs="Cambria"/>
          <w:color w:val="000000"/>
        </w:rPr>
      </w:pPr>
      <w:r>
        <w:rPr>
          <w:rFonts w:ascii="Cambria" w:eastAsia="Cambria" w:hAnsi="Cambria" w:cs="Cambria"/>
          <w:color w:val="000000"/>
        </w:rPr>
        <w:t>Profession‐wide competencies include certain competencies required for all students who graduate from programs accredited in health service psychology. Programs must provide opportunities for all of their students to achieve and demonstrate each required profession‐wide competency. Although in general, the competencies appearing at or near the top of the following list serve as foundations upon which later competencies are built, each competency is considered critical for graduates in programs accredited in health service psychology. The specific requirements for each competency are articulated in Implementing Regulations. Because science is at the core of health service psychology, programs must demonstrate that they rely on the current evidence‐base when training students in the following competency areas.  Students must demonstrate competence in:</w:t>
      </w:r>
    </w:p>
    <w:p w14:paraId="000006DF" w14:textId="77777777" w:rsidR="00CD3527" w:rsidRDefault="007F4AED">
      <w:pPr>
        <w:numPr>
          <w:ilvl w:val="2"/>
          <w:numId w:val="37"/>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Research</w:t>
      </w:r>
    </w:p>
    <w:p w14:paraId="000006E0" w14:textId="77777777" w:rsidR="00CD3527" w:rsidRDefault="007F4AED">
      <w:pPr>
        <w:numPr>
          <w:ilvl w:val="2"/>
          <w:numId w:val="37"/>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Ethical and legal standards </w:t>
      </w:r>
    </w:p>
    <w:p w14:paraId="000006E1" w14:textId="77777777" w:rsidR="00CD3527" w:rsidRDefault="007F4AED">
      <w:pPr>
        <w:numPr>
          <w:ilvl w:val="2"/>
          <w:numId w:val="37"/>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Individual and cultural diversity </w:t>
      </w:r>
    </w:p>
    <w:p w14:paraId="000006E2" w14:textId="77777777" w:rsidR="00CD3527" w:rsidRDefault="007F4AED">
      <w:pPr>
        <w:numPr>
          <w:ilvl w:val="2"/>
          <w:numId w:val="37"/>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Professional values, attitudes, and behaviors </w:t>
      </w:r>
    </w:p>
    <w:p w14:paraId="000006E3" w14:textId="77777777" w:rsidR="00CD3527" w:rsidRDefault="007F4AED">
      <w:pPr>
        <w:numPr>
          <w:ilvl w:val="2"/>
          <w:numId w:val="37"/>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Communication and interpersonal skills </w:t>
      </w:r>
    </w:p>
    <w:p w14:paraId="000006E4" w14:textId="77777777" w:rsidR="00CD3527" w:rsidRDefault="007F4AED">
      <w:pPr>
        <w:numPr>
          <w:ilvl w:val="2"/>
          <w:numId w:val="37"/>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Assessment </w:t>
      </w:r>
    </w:p>
    <w:p w14:paraId="000006E5" w14:textId="77777777" w:rsidR="00CD3527" w:rsidRDefault="007F4AED">
      <w:pPr>
        <w:numPr>
          <w:ilvl w:val="2"/>
          <w:numId w:val="37"/>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Intervention </w:t>
      </w:r>
    </w:p>
    <w:p w14:paraId="000006E6" w14:textId="77777777" w:rsidR="00CD3527" w:rsidRDefault="007F4AED">
      <w:pPr>
        <w:numPr>
          <w:ilvl w:val="2"/>
          <w:numId w:val="37"/>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Supervision </w:t>
      </w:r>
    </w:p>
    <w:p w14:paraId="000006E7" w14:textId="77777777" w:rsidR="00CD3527" w:rsidRDefault="007F4AED">
      <w:pPr>
        <w:numPr>
          <w:ilvl w:val="2"/>
          <w:numId w:val="37"/>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Consultation and interprofessional/interdisciplinary skills</w:t>
      </w:r>
    </w:p>
    <w:p w14:paraId="000006E8" w14:textId="77777777" w:rsidR="00CD3527" w:rsidRDefault="007F4AED">
      <w:pPr>
        <w:numPr>
          <w:ilvl w:val="0"/>
          <w:numId w:val="37"/>
        </w:numPr>
        <w:pBdr>
          <w:top w:val="nil"/>
          <w:left w:val="nil"/>
          <w:bottom w:val="nil"/>
          <w:right w:val="nil"/>
          <w:between w:val="nil"/>
        </w:pBdr>
        <w:ind w:left="1440"/>
        <w:rPr>
          <w:rFonts w:ascii="Cambria" w:eastAsia="Cambria" w:hAnsi="Cambria" w:cs="Cambria"/>
          <w:b/>
          <w:color w:val="000000"/>
        </w:rPr>
      </w:pPr>
      <w:r>
        <w:rPr>
          <w:rFonts w:ascii="Cambria" w:eastAsia="Cambria" w:hAnsi="Cambria" w:cs="Cambria"/>
          <w:b/>
          <w:color w:val="000000"/>
        </w:rPr>
        <w:t xml:space="preserve">Learning/Curriculum Elements Related to the Program’s Aims. </w:t>
      </w:r>
      <w:r>
        <w:rPr>
          <w:rFonts w:ascii="Cambria" w:eastAsia="Cambria" w:hAnsi="Cambria" w:cs="Cambria"/>
          <w:color w:val="000000"/>
        </w:rPr>
        <w:t>The program must describe the process by which students attain discipline‐specific knowledge and each profession‐wide competency (i.e., the program’s curriculum) and provide a description of how the curriculum is consistent with professional standards and the program’s aims.</w:t>
      </w:r>
    </w:p>
    <w:p w14:paraId="000006E9" w14:textId="77777777" w:rsidR="00CD3527" w:rsidRDefault="007F4AED">
      <w:pPr>
        <w:numPr>
          <w:ilvl w:val="0"/>
          <w:numId w:val="37"/>
        </w:numPr>
        <w:pBdr>
          <w:top w:val="nil"/>
          <w:left w:val="nil"/>
          <w:bottom w:val="nil"/>
          <w:right w:val="nil"/>
          <w:between w:val="nil"/>
        </w:pBdr>
        <w:ind w:left="1440"/>
        <w:rPr>
          <w:rFonts w:ascii="Cambria" w:eastAsia="Cambria" w:hAnsi="Cambria" w:cs="Cambria"/>
          <w:b/>
          <w:color w:val="000000"/>
        </w:rPr>
      </w:pPr>
      <w:r>
        <w:rPr>
          <w:rFonts w:ascii="Cambria" w:eastAsia="Cambria" w:hAnsi="Cambria" w:cs="Cambria"/>
          <w:b/>
          <w:color w:val="000000"/>
        </w:rPr>
        <w:t>Required Practicum Training Elements</w:t>
      </w:r>
    </w:p>
    <w:p w14:paraId="000006EA" w14:textId="77777777" w:rsidR="00CD3527" w:rsidRDefault="007F4AED">
      <w:pPr>
        <w:numPr>
          <w:ilvl w:val="1"/>
          <w:numId w:val="37"/>
        </w:numPr>
        <w:pBdr>
          <w:top w:val="nil"/>
          <w:left w:val="nil"/>
          <w:bottom w:val="nil"/>
          <w:right w:val="nil"/>
          <w:between w:val="nil"/>
        </w:pBdr>
        <w:tabs>
          <w:tab w:val="left" w:pos="1440"/>
        </w:tabs>
        <w:ind w:left="1800"/>
        <w:rPr>
          <w:rFonts w:ascii="Cambria" w:eastAsia="Cambria" w:hAnsi="Cambria" w:cs="Cambria"/>
          <w:color w:val="000000"/>
        </w:rPr>
      </w:pPr>
      <w:r>
        <w:rPr>
          <w:rFonts w:ascii="Cambria" w:eastAsia="Cambria" w:hAnsi="Cambria" w:cs="Cambria"/>
          <w:color w:val="000000"/>
        </w:rPr>
        <w:t xml:space="preserve">Practicum must include supervised experience working with diverse individuals with a variety of presenting problems, diagnoses, and issues. The purpose of practicum is to develop the requisite knowledge and skills for graduates to be able to demonstrate the competencies defined above. The doctoral program needs to demonstrate that it provides a training plan applied and documented at the individual level, appropriate to the student’s current skills and ability, that ensures that by the time the student applies for internship the student has attained the requisite level of competency. </w:t>
      </w:r>
    </w:p>
    <w:p w14:paraId="000006EB" w14:textId="77777777" w:rsidR="00CD3527" w:rsidRDefault="007F4AED">
      <w:pPr>
        <w:numPr>
          <w:ilvl w:val="1"/>
          <w:numId w:val="37"/>
        </w:numPr>
        <w:pBdr>
          <w:top w:val="nil"/>
          <w:left w:val="nil"/>
          <w:bottom w:val="nil"/>
          <w:right w:val="nil"/>
          <w:between w:val="nil"/>
        </w:pBdr>
        <w:tabs>
          <w:tab w:val="left" w:pos="1440"/>
        </w:tabs>
        <w:ind w:left="1800"/>
        <w:rPr>
          <w:rFonts w:ascii="Cambria" w:eastAsia="Cambria" w:hAnsi="Cambria" w:cs="Cambria"/>
          <w:color w:val="000000"/>
        </w:rPr>
      </w:pPr>
      <w:r>
        <w:rPr>
          <w:rFonts w:ascii="Cambria" w:eastAsia="Cambria" w:hAnsi="Cambria" w:cs="Cambria"/>
          <w:color w:val="000000"/>
        </w:rPr>
        <w:t xml:space="preserve">Programs must place students in settings that are committed to training, that provide experiences that are consistent with health service psychology and the program’s aims, and that enable students to attain and demonstrate appropriate competencies.  </w:t>
      </w:r>
    </w:p>
    <w:p w14:paraId="000006EC" w14:textId="77777777" w:rsidR="00CD3527" w:rsidRDefault="007F4AED">
      <w:pPr>
        <w:numPr>
          <w:ilvl w:val="1"/>
          <w:numId w:val="37"/>
        </w:numPr>
        <w:pBdr>
          <w:top w:val="nil"/>
          <w:left w:val="nil"/>
          <w:bottom w:val="nil"/>
          <w:right w:val="nil"/>
          <w:between w:val="nil"/>
        </w:pBdr>
        <w:tabs>
          <w:tab w:val="left" w:pos="1440"/>
        </w:tabs>
        <w:ind w:left="1800"/>
        <w:rPr>
          <w:rFonts w:ascii="Cambria" w:eastAsia="Cambria" w:hAnsi="Cambria" w:cs="Cambria"/>
          <w:color w:val="000000"/>
        </w:rPr>
      </w:pPr>
      <w:r>
        <w:rPr>
          <w:rFonts w:ascii="Cambria" w:eastAsia="Cambria" w:hAnsi="Cambria" w:cs="Cambria"/>
          <w:color w:val="000000"/>
        </w:rPr>
        <w:lastRenderedPageBreak/>
        <w:t>Supervision must be provided by appropriately trained and credentialed individuals.</w:t>
      </w:r>
    </w:p>
    <w:p w14:paraId="000006ED" w14:textId="77777777" w:rsidR="00CD3527" w:rsidRDefault="007F4AED">
      <w:pPr>
        <w:numPr>
          <w:ilvl w:val="1"/>
          <w:numId w:val="37"/>
        </w:numPr>
        <w:pBdr>
          <w:top w:val="nil"/>
          <w:left w:val="nil"/>
          <w:bottom w:val="nil"/>
          <w:right w:val="nil"/>
          <w:between w:val="nil"/>
        </w:pBdr>
        <w:tabs>
          <w:tab w:val="left" w:pos="1440"/>
        </w:tabs>
        <w:ind w:left="1800"/>
        <w:rPr>
          <w:rFonts w:ascii="Cambria" w:eastAsia="Cambria" w:hAnsi="Cambria" w:cs="Cambria"/>
          <w:color w:val="000000"/>
        </w:rPr>
      </w:pPr>
      <w:r>
        <w:rPr>
          <w:rFonts w:ascii="Cambria" w:eastAsia="Cambria" w:hAnsi="Cambria" w:cs="Cambria"/>
          <w:color w:val="000000"/>
        </w:rPr>
        <w:t>As part of a program’s ongoing commitment to ensuring the quality of their graduates, each practicum evaluation must be based in part on direct observation of the practicum student and her/his developing skills (either live or electronically).</w:t>
      </w:r>
    </w:p>
    <w:p w14:paraId="000006EE" w14:textId="77777777" w:rsidR="00CD3527" w:rsidRDefault="007F4AED">
      <w:pPr>
        <w:numPr>
          <w:ilvl w:val="0"/>
          <w:numId w:val="37"/>
        </w:numPr>
        <w:pBdr>
          <w:top w:val="nil"/>
          <w:left w:val="nil"/>
          <w:bottom w:val="nil"/>
          <w:right w:val="nil"/>
          <w:between w:val="nil"/>
        </w:pBdr>
        <w:tabs>
          <w:tab w:val="left" w:pos="1440"/>
        </w:tabs>
        <w:ind w:left="1350" w:hanging="270"/>
        <w:rPr>
          <w:rFonts w:ascii="Cambria" w:eastAsia="Cambria" w:hAnsi="Cambria" w:cs="Cambria"/>
          <w:b/>
          <w:color w:val="000000"/>
        </w:rPr>
      </w:pPr>
      <w:r>
        <w:rPr>
          <w:rFonts w:ascii="Cambria" w:eastAsia="Cambria" w:hAnsi="Cambria" w:cs="Cambria"/>
          <w:b/>
          <w:color w:val="000000"/>
        </w:rPr>
        <w:t xml:space="preserve">Required Internship Training Elements. </w:t>
      </w:r>
      <w:r>
        <w:rPr>
          <w:rFonts w:ascii="Cambria" w:eastAsia="Cambria" w:hAnsi="Cambria" w:cs="Cambria"/>
          <w:color w:val="000000"/>
        </w:rPr>
        <w:t>The program must demonstrate that all students complete a one year full‐time or two year part‐time internship. The program’s policies regarding student placement at accredited versus unaccredited internships should be consistent with national standards regarding internship training.</w:t>
      </w:r>
    </w:p>
    <w:p w14:paraId="000006EF" w14:textId="77777777" w:rsidR="00CD3527" w:rsidRDefault="007F4AED">
      <w:pPr>
        <w:numPr>
          <w:ilvl w:val="1"/>
          <w:numId w:val="37"/>
        </w:numPr>
        <w:pBdr>
          <w:top w:val="nil"/>
          <w:left w:val="nil"/>
          <w:bottom w:val="nil"/>
          <w:right w:val="nil"/>
          <w:between w:val="nil"/>
        </w:pBdr>
        <w:tabs>
          <w:tab w:val="left" w:pos="2880"/>
        </w:tabs>
        <w:ind w:left="1800"/>
        <w:rPr>
          <w:rFonts w:ascii="Cambria" w:eastAsia="Cambria" w:hAnsi="Cambria" w:cs="Cambria"/>
          <w:b/>
          <w:color w:val="000000"/>
        </w:rPr>
      </w:pPr>
      <w:r>
        <w:rPr>
          <w:rFonts w:ascii="Cambria" w:eastAsia="Cambria" w:hAnsi="Cambria" w:cs="Cambria"/>
          <w:b/>
          <w:color w:val="000000"/>
        </w:rPr>
        <w:t xml:space="preserve">Accredited Internships. </w:t>
      </w:r>
      <w:r>
        <w:rPr>
          <w:rFonts w:ascii="Cambria" w:eastAsia="Cambria" w:hAnsi="Cambria" w:cs="Cambria"/>
          <w:color w:val="000000"/>
        </w:rPr>
        <w:t>Students are expected to apply for, and to the extent possible, complete internship training programs that are either APA‐ or CPA‐ accredited. For students who attend accredited internships, the doctoral program is required to provide only the specific name of the internship.</w:t>
      </w:r>
    </w:p>
    <w:p w14:paraId="000006F0" w14:textId="77777777" w:rsidR="00CD3527" w:rsidRDefault="007F4AED">
      <w:pPr>
        <w:numPr>
          <w:ilvl w:val="1"/>
          <w:numId w:val="37"/>
        </w:numPr>
        <w:pBdr>
          <w:top w:val="nil"/>
          <w:left w:val="nil"/>
          <w:bottom w:val="nil"/>
          <w:right w:val="nil"/>
          <w:between w:val="nil"/>
        </w:pBdr>
        <w:tabs>
          <w:tab w:val="left" w:pos="2880"/>
        </w:tabs>
        <w:ind w:left="1800"/>
        <w:rPr>
          <w:rFonts w:ascii="Cambria" w:eastAsia="Cambria" w:hAnsi="Cambria" w:cs="Cambria"/>
          <w:b/>
          <w:color w:val="000000"/>
        </w:rPr>
      </w:pPr>
      <w:r>
        <w:rPr>
          <w:rFonts w:ascii="Cambria" w:eastAsia="Cambria" w:hAnsi="Cambria" w:cs="Cambria"/>
          <w:b/>
          <w:color w:val="000000"/>
        </w:rPr>
        <w:t xml:space="preserve">Unaccredited Internships. </w:t>
      </w:r>
      <w:r>
        <w:rPr>
          <w:rFonts w:ascii="Cambria" w:eastAsia="Cambria" w:hAnsi="Cambria" w:cs="Cambria"/>
          <w:color w:val="000000"/>
        </w:rPr>
        <w:t>When a student attends an unaccredited internship, it is the responsibility of the doctoral program to provide evidence demonstrating quality and adequacy of the internship experience. This must include information on the following:</w:t>
      </w:r>
    </w:p>
    <w:p w14:paraId="000006F1" w14:textId="77777777" w:rsidR="00CD3527" w:rsidRDefault="007F4AED">
      <w:pPr>
        <w:numPr>
          <w:ilvl w:val="2"/>
          <w:numId w:val="37"/>
        </w:numPr>
        <w:pBdr>
          <w:top w:val="nil"/>
          <w:left w:val="nil"/>
          <w:bottom w:val="nil"/>
          <w:right w:val="nil"/>
          <w:between w:val="nil"/>
        </w:pBdr>
        <w:tabs>
          <w:tab w:val="left" w:pos="2880"/>
        </w:tabs>
        <w:rPr>
          <w:rFonts w:ascii="Cambria" w:eastAsia="Cambria" w:hAnsi="Cambria" w:cs="Cambria"/>
          <w:color w:val="000000"/>
        </w:rPr>
      </w:pPr>
      <w:r>
        <w:rPr>
          <w:rFonts w:ascii="Cambria" w:eastAsia="Cambria" w:hAnsi="Cambria" w:cs="Cambria"/>
          <w:color w:val="000000"/>
        </w:rPr>
        <w:t xml:space="preserve">the nature and appropriateness of the training activities; </w:t>
      </w:r>
    </w:p>
    <w:p w14:paraId="000006F2" w14:textId="77777777" w:rsidR="00CD3527" w:rsidRDefault="007F4AED">
      <w:pPr>
        <w:numPr>
          <w:ilvl w:val="2"/>
          <w:numId w:val="37"/>
        </w:numPr>
        <w:pBdr>
          <w:top w:val="nil"/>
          <w:left w:val="nil"/>
          <w:bottom w:val="nil"/>
          <w:right w:val="nil"/>
          <w:between w:val="nil"/>
        </w:pBdr>
        <w:tabs>
          <w:tab w:val="left" w:pos="2880"/>
        </w:tabs>
        <w:rPr>
          <w:rFonts w:ascii="Cambria" w:eastAsia="Cambria" w:hAnsi="Cambria" w:cs="Cambria"/>
          <w:color w:val="000000"/>
        </w:rPr>
      </w:pPr>
      <w:r>
        <w:rPr>
          <w:rFonts w:ascii="Cambria" w:eastAsia="Cambria" w:hAnsi="Cambria" w:cs="Cambria"/>
          <w:color w:val="000000"/>
        </w:rPr>
        <w:t xml:space="preserve">frequency and quality of supervision; </w:t>
      </w:r>
    </w:p>
    <w:p w14:paraId="000006F3" w14:textId="77777777" w:rsidR="00CD3527" w:rsidRDefault="007F4AED">
      <w:pPr>
        <w:numPr>
          <w:ilvl w:val="2"/>
          <w:numId w:val="37"/>
        </w:numPr>
        <w:pBdr>
          <w:top w:val="nil"/>
          <w:left w:val="nil"/>
          <w:bottom w:val="nil"/>
          <w:right w:val="nil"/>
          <w:between w:val="nil"/>
        </w:pBdr>
        <w:tabs>
          <w:tab w:val="left" w:pos="2880"/>
        </w:tabs>
        <w:rPr>
          <w:rFonts w:ascii="Cambria" w:eastAsia="Cambria" w:hAnsi="Cambria" w:cs="Cambria"/>
          <w:color w:val="000000"/>
        </w:rPr>
      </w:pPr>
      <w:r>
        <w:rPr>
          <w:rFonts w:ascii="Cambria" w:eastAsia="Cambria" w:hAnsi="Cambria" w:cs="Cambria"/>
          <w:color w:val="000000"/>
        </w:rPr>
        <w:t xml:space="preserve">credentials of the supervisors; </w:t>
      </w:r>
    </w:p>
    <w:p w14:paraId="000006F4" w14:textId="77777777" w:rsidR="00CD3527" w:rsidRDefault="007F4AED">
      <w:pPr>
        <w:numPr>
          <w:ilvl w:val="2"/>
          <w:numId w:val="37"/>
        </w:numPr>
        <w:pBdr>
          <w:top w:val="nil"/>
          <w:left w:val="nil"/>
          <w:bottom w:val="nil"/>
          <w:right w:val="nil"/>
          <w:between w:val="nil"/>
        </w:pBdr>
        <w:tabs>
          <w:tab w:val="left" w:pos="2880"/>
        </w:tabs>
        <w:rPr>
          <w:rFonts w:ascii="Cambria" w:eastAsia="Cambria" w:hAnsi="Cambria" w:cs="Cambria"/>
          <w:color w:val="000000"/>
        </w:rPr>
      </w:pPr>
      <w:r>
        <w:rPr>
          <w:rFonts w:ascii="Cambria" w:eastAsia="Cambria" w:hAnsi="Cambria" w:cs="Cambria"/>
          <w:color w:val="000000"/>
        </w:rPr>
        <w:t xml:space="preserve">how the internship evaluates student performance; </w:t>
      </w:r>
    </w:p>
    <w:p w14:paraId="000006F5" w14:textId="77777777" w:rsidR="00CD3527" w:rsidRDefault="007F4AED">
      <w:pPr>
        <w:numPr>
          <w:ilvl w:val="2"/>
          <w:numId w:val="37"/>
        </w:numPr>
        <w:pBdr>
          <w:top w:val="nil"/>
          <w:left w:val="nil"/>
          <w:bottom w:val="nil"/>
          <w:right w:val="nil"/>
          <w:between w:val="nil"/>
        </w:pBdr>
        <w:tabs>
          <w:tab w:val="left" w:pos="2880"/>
        </w:tabs>
        <w:rPr>
          <w:rFonts w:ascii="Cambria" w:eastAsia="Cambria" w:hAnsi="Cambria" w:cs="Cambria"/>
          <w:color w:val="000000"/>
        </w:rPr>
      </w:pPr>
      <w:r>
        <w:rPr>
          <w:rFonts w:ascii="Cambria" w:eastAsia="Cambria" w:hAnsi="Cambria" w:cs="Cambria"/>
          <w:color w:val="000000"/>
        </w:rPr>
        <w:t xml:space="preserve">how interns demonstrate competency at the appropriate level; </w:t>
      </w:r>
    </w:p>
    <w:p w14:paraId="000006F6" w14:textId="77777777" w:rsidR="00CD3527" w:rsidRDefault="007F4AED">
      <w:pPr>
        <w:numPr>
          <w:ilvl w:val="2"/>
          <w:numId w:val="37"/>
        </w:numPr>
        <w:pBdr>
          <w:top w:val="nil"/>
          <w:left w:val="nil"/>
          <w:bottom w:val="nil"/>
          <w:right w:val="nil"/>
          <w:between w:val="nil"/>
        </w:pBdr>
        <w:tabs>
          <w:tab w:val="left" w:pos="2880"/>
        </w:tabs>
        <w:rPr>
          <w:rFonts w:ascii="Cambria" w:eastAsia="Cambria" w:hAnsi="Cambria" w:cs="Cambria"/>
          <w:color w:val="000000"/>
        </w:rPr>
      </w:pPr>
      <w:r>
        <w:rPr>
          <w:rFonts w:ascii="Cambria" w:eastAsia="Cambria" w:hAnsi="Cambria" w:cs="Cambria"/>
          <w:color w:val="000000"/>
        </w:rPr>
        <w:t>documentation of the evaluation of its students in its student files.</w:t>
      </w:r>
    </w:p>
    <w:p w14:paraId="000006F7" w14:textId="77777777" w:rsidR="00CD3527" w:rsidRDefault="00CD3527">
      <w:pPr>
        <w:pBdr>
          <w:top w:val="nil"/>
          <w:left w:val="nil"/>
          <w:bottom w:val="nil"/>
          <w:right w:val="nil"/>
          <w:between w:val="nil"/>
        </w:pBdr>
        <w:ind w:left="2160"/>
        <w:rPr>
          <w:rFonts w:ascii="Cambria" w:eastAsia="Cambria" w:hAnsi="Cambria" w:cs="Cambria"/>
          <w:color w:val="000000"/>
        </w:rPr>
      </w:pPr>
    </w:p>
    <w:p w14:paraId="000006F8" w14:textId="77777777" w:rsidR="00CD3527" w:rsidRDefault="00CD3527">
      <w:pPr>
        <w:pBdr>
          <w:top w:val="nil"/>
          <w:left w:val="nil"/>
          <w:bottom w:val="nil"/>
          <w:right w:val="nil"/>
          <w:between w:val="nil"/>
        </w:pBdr>
        <w:rPr>
          <w:rFonts w:ascii="Cambria" w:eastAsia="Cambria" w:hAnsi="Cambria" w:cs="Cambria"/>
          <w:b/>
          <w:color w:val="000000"/>
        </w:rPr>
      </w:pPr>
    </w:p>
    <w:p w14:paraId="000006F9" w14:textId="77777777" w:rsidR="00CD3527" w:rsidRDefault="007F4AED">
      <w:p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C. Program‐Specific Elements – Degree Type, Competencies, and Related Curriculum</w:t>
      </w:r>
    </w:p>
    <w:p w14:paraId="000006FA" w14:textId="77777777" w:rsidR="00CD3527" w:rsidRDefault="007F4AED">
      <w:pPr>
        <w:numPr>
          <w:ilvl w:val="3"/>
          <w:numId w:val="40"/>
        </w:numPr>
        <w:pBdr>
          <w:top w:val="nil"/>
          <w:left w:val="nil"/>
          <w:bottom w:val="nil"/>
          <w:right w:val="nil"/>
          <w:between w:val="nil"/>
        </w:pBdr>
        <w:ind w:left="1440"/>
        <w:rPr>
          <w:rFonts w:ascii="Cambria" w:eastAsia="Cambria" w:hAnsi="Cambria" w:cs="Cambria"/>
          <w:b/>
          <w:color w:val="000000"/>
        </w:rPr>
      </w:pPr>
      <w:r>
        <w:rPr>
          <w:rFonts w:ascii="Cambria" w:eastAsia="Cambria" w:hAnsi="Cambria" w:cs="Cambria"/>
          <w:b/>
          <w:color w:val="000000"/>
        </w:rPr>
        <w:t xml:space="preserve">Degree Type. </w:t>
      </w:r>
      <w:r>
        <w:rPr>
          <w:rFonts w:ascii="Cambria" w:eastAsia="Cambria" w:hAnsi="Cambria" w:cs="Cambria"/>
          <w:color w:val="000000"/>
        </w:rPr>
        <w:t>All accredited programs in psychology support the development of disciplinary knowledge and core competencies associated with the profession, and support the acquisition and integration of knowledge, skills, and attitudes from two major domains within the discipline: research and evidence‐based practice. Programs are accredited either to offer the PhD degree or to offer the PsyD degree. Other doctoral degree designations that meet these general parameters may be eligible for consideration as appropriate. Although all doctoral degrees contain all the required elements common to programs accredited in HSP, they differ in the balance among, and relative emphasis on, program components, based on specific training aims or likely career paths of their graduates.</w:t>
      </w:r>
    </w:p>
    <w:p w14:paraId="000006FB" w14:textId="77777777" w:rsidR="00CD3527" w:rsidRDefault="007F4AED">
      <w:pPr>
        <w:pBdr>
          <w:top w:val="nil"/>
          <w:left w:val="nil"/>
          <w:bottom w:val="nil"/>
          <w:right w:val="nil"/>
          <w:between w:val="nil"/>
        </w:pBdr>
        <w:ind w:left="1440" w:firstLine="360"/>
        <w:rPr>
          <w:rFonts w:ascii="Cambria" w:eastAsia="Cambria" w:hAnsi="Cambria" w:cs="Cambria"/>
          <w:color w:val="000000"/>
        </w:rPr>
      </w:pPr>
      <w:r>
        <w:rPr>
          <w:rFonts w:ascii="Cambria" w:eastAsia="Cambria" w:hAnsi="Cambria" w:cs="Cambria"/>
          <w:color w:val="000000"/>
        </w:rPr>
        <w:t xml:space="preserve">In general, PhD programs place relatively greater emphasis upon training related to research, and PsyD programs place relatively greater emphasis on training for engaging in professional practice. Graduates of each type of program or other doctoral degree designations, however, </w:t>
      </w:r>
      <w:r>
        <w:rPr>
          <w:rFonts w:ascii="Cambria" w:eastAsia="Cambria" w:hAnsi="Cambria" w:cs="Cambria"/>
          <w:color w:val="000000"/>
        </w:rPr>
        <w:lastRenderedPageBreak/>
        <w:t xml:space="preserve">must demonstrate a fundamental understanding of and competency in both research/scholarly activities and evidence‐based professional practice. </w:t>
      </w:r>
    </w:p>
    <w:p w14:paraId="000006FC" w14:textId="77777777" w:rsidR="00CD3527" w:rsidRDefault="007F4AED">
      <w:pPr>
        <w:pBdr>
          <w:top w:val="nil"/>
          <w:left w:val="nil"/>
          <w:bottom w:val="nil"/>
          <w:right w:val="nil"/>
          <w:between w:val="nil"/>
        </w:pBdr>
        <w:ind w:left="1440" w:firstLine="360"/>
        <w:rPr>
          <w:rFonts w:ascii="Cambria" w:eastAsia="Cambria" w:hAnsi="Cambria" w:cs="Cambria"/>
          <w:color w:val="000000"/>
        </w:rPr>
      </w:pPr>
      <w:r>
        <w:rPr>
          <w:rFonts w:ascii="Cambria" w:eastAsia="Cambria" w:hAnsi="Cambria" w:cs="Cambria"/>
          <w:color w:val="000000"/>
        </w:rPr>
        <w:t xml:space="preserve">Programs that confer the PhD must have a substantial proportion of faculty who conduct empirical research in the discipline (or related disciplines and fields) and a substantial proportion of faculty who have been trained for the practice of psychology. Thus, students in PhD programs are trained to both create and disseminate the scholarly research upon which science and practice are built, as well as utilize such research to engage in evidence‐based practice.   </w:t>
      </w:r>
    </w:p>
    <w:p w14:paraId="000006FD" w14:textId="77777777" w:rsidR="00CD3527" w:rsidRDefault="007F4AED">
      <w:pPr>
        <w:pBdr>
          <w:top w:val="nil"/>
          <w:left w:val="nil"/>
          <w:bottom w:val="nil"/>
          <w:right w:val="nil"/>
          <w:between w:val="nil"/>
        </w:pBdr>
        <w:ind w:left="1440" w:firstLine="360"/>
        <w:rPr>
          <w:rFonts w:ascii="Cambria" w:eastAsia="Cambria" w:hAnsi="Cambria" w:cs="Cambria"/>
          <w:color w:val="000000"/>
        </w:rPr>
      </w:pPr>
      <w:r>
        <w:rPr>
          <w:rFonts w:ascii="Cambria" w:eastAsia="Cambria" w:hAnsi="Cambria" w:cs="Cambria"/>
          <w:color w:val="000000"/>
        </w:rPr>
        <w:t>Programs that confer the PsyD must have a substantial proportion of faculty who engage in scholarship and/or empirical research in the discipline (or related disciplines and fields) and a substantial proportion of faculty who have been trained for the practice of psychology. Thus, students in PsyD programs are trained to engage in evidence‐based practice, as well as in scientific inquiry and evaluation.</w:t>
      </w:r>
    </w:p>
    <w:p w14:paraId="000006FE" w14:textId="77777777" w:rsidR="00CD3527" w:rsidRDefault="007F4AED">
      <w:pPr>
        <w:numPr>
          <w:ilvl w:val="3"/>
          <w:numId w:val="40"/>
        </w:numPr>
        <w:pBdr>
          <w:top w:val="nil"/>
          <w:left w:val="nil"/>
          <w:bottom w:val="nil"/>
          <w:right w:val="nil"/>
          <w:between w:val="nil"/>
        </w:pBdr>
        <w:ind w:left="1440"/>
        <w:rPr>
          <w:rFonts w:ascii="Cambria" w:eastAsia="Cambria" w:hAnsi="Cambria" w:cs="Cambria"/>
          <w:b/>
          <w:color w:val="000000"/>
        </w:rPr>
      </w:pPr>
      <w:r>
        <w:rPr>
          <w:rFonts w:ascii="Cambria" w:eastAsia="Cambria" w:hAnsi="Cambria" w:cs="Cambria"/>
          <w:b/>
          <w:color w:val="000000"/>
        </w:rPr>
        <w:t xml:space="preserve">Program‐Specific Competencies and Related Curriculum. </w:t>
      </w:r>
      <w:r>
        <w:rPr>
          <w:rFonts w:ascii="Cambria" w:eastAsia="Cambria" w:hAnsi="Cambria" w:cs="Cambria"/>
          <w:color w:val="000000"/>
        </w:rPr>
        <w:t xml:space="preserve">Doctoral programs accredited in health service psychology may require that students attain additional competencies specific to the program. </w:t>
      </w:r>
    </w:p>
    <w:p w14:paraId="000006FF" w14:textId="77777777" w:rsidR="00CD3527" w:rsidRDefault="007F4AED">
      <w:pPr>
        <w:numPr>
          <w:ilvl w:val="4"/>
          <w:numId w:val="40"/>
        </w:numPr>
        <w:pBdr>
          <w:top w:val="nil"/>
          <w:left w:val="nil"/>
          <w:bottom w:val="nil"/>
          <w:right w:val="nil"/>
          <w:between w:val="nil"/>
        </w:pBdr>
        <w:ind w:left="1800"/>
        <w:rPr>
          <w:rFonts w:ascii="Cambria" w:eastAsia="Cambria" w:hAnsi="Cambria" w:cs="Cambria"/>
          <w:color w:val="000000"/>
        </w:rPr>
      </w:pPr>
      <w:r>
        <w:rPr>
          <w:rFonts w:ascii="Cambria" w:eastAsia="Cambria" w:hAnsi="Cambria" w:cs="Cambria"/>
          <w:color w:val="000000"/>
        </w:rPr>
        <w:t>If the program requires additional competencies of its students, it must describe the competencies, how they are consistent with the program’s aims, and the process by which students attain each competency (i.e., curriculum).</w:t>
      </w:r>
    </w:p>
    <w:p w14:paraId="00000700" w14:textId="77777777" w:rsidR="00CD3527" w:rsidRDefault="007F4AED">
      <w:pPr>
        <w:numPr>
          <w:ilvl w:val="4"/>
          <w:numId w:val="40"/>
        </w:numPr>
        <w:pBdr>
          <w:top w:val="nil"/>
          <w:left w:val="nil"/>
          <w:bottom w:val="nil"/>
          <w:right w:val="nil"/>
          <w:between w:val="nil"/>
        </w:pBdr>
        <w:ind w:left="1800"/>
        <w:rPr>
          <w:rFonts w:ascii="Cambria" w:eastAsia="Cambria" w:hAnsi="Cambria" w:cs="Cambria"/>
          <w:color w:val="000000"/>
        </w:rPr>
      </w:pPr>
      <w:r>
        <w:rPr>
          <w:rFonts w:ascii="Cambria" w:eastAsia="Cambria" w:hAnsi="Cambria" w:cs="Cambria"/>
          <w:color w:val="000000"/>
        </w:rPr>
        <w:t>Additional competencies must be consistent with the ethics of the profession.</w:t>
      </w:r>
    </w:p>
    <w:p w14:paraId="00000701" w14:textId="77777777" w:rsidR="00CD3527" w:rsidRDefault="00CD3527">
      <w:pPr>
        <w:pBdr>
          <w:top w:val="nil"/>
          <w:left w:val="nil"/>
          <w:bottom w:val="nil"/>
          <w:right w:val="nil"/>
          <w:between w:val="nil"/>
        </w:pBdr>
        <w:rPr>
          <w:rFonts w:ascii="Cambria" w:eastAsia="Cambria" w:hAnsi="Cambria" w:cs="Cambria"/>
          <w:color w:val="000000"/>
        </w:rPr>
      </w:pPr>
    </w:p>
    <w:p w14:paraId="00000702" w14:textId="77777777" w:rsidR="00CD3527" w:rsidRDefault="007F4AED">
      <w:pPr>
        <w:pBdr>
          <w:top w:val="nil"/>
          <w:left w:val="nil"/>
          <w:bottom w:val="nil"/>
          <w:right w:val="nil"/>
          <w:between w:val="nil"/>
        </w:pBdr>
        <w:rPr>
          <w:rFonts w:ascii="Cambria" w:eastAsia="Cambria" w:hAnsi="Cambria" w:cs="Cambria"/>
          <w:b/>
          <w:color w:val="000000"/>
        </w:rPr>
      </w:pPr>
      <w:r>
        <w:rPr>
          <w:rFonts w:ascii="Cambria" w:eastAsia="Cambria" w:hAnsi="Cambria" w:cs="Cambria"/>
          <w:b/>
          <w:color w:val="000000"/>
        </w:rPr>
        <w:t xml:space="preserve">D. Evaluation of Students and Program  </w:t>
      </w:r>
    </w:p>
    <w:p w14:paraId="00000703" w14:textId="77777777" w:rsidR="00CD3527" w:rsidRDefault="007F4AED">
      <w:pPr>
        <w:numPr>
          <w:ilvl w:val="3"/>
          <w:numId w:val="79"/>
        </w:numPr>
        <w:pBdr>
          <w:top w:val="nil"/>
          <w:left w:val="nil"/>
          <w:bottom w:val="nil"/>
          <w:right w:val="nil"/>
          <w:between w:val="nil"/>
        </w:pBdr>
        <w:ind w:left="1440"/>
        <w:rPr>
          <w:rFonts w:ascii="Cambria" w:eastAsia="Cambria" w:hAnsi="Cambria" w:cs="Cambria"/>
          <w:b/>
          <w:color w:val="000000"/>
        </w:rPr>
      </w:pPr>
      <w:r>
        <w:rPr>
          <w:rFonts w:ascii="Cambria" w:eastAsia="Cambria" w:hAnsi="Cambria" w:cs="Cambria"/>
          <w:b/>
          <w:color w:val="000000"/>
        </w:rPr>
        <w:t>Evaluation of Students’ Competencies</w:t>
      </w:r>
    </w:p>
    <w:p w14:paraId="00000704" w14:textId="77777777" w:rsidR="00CD3527" w:rsidRDefault="007F4AED">
      <w:pPr>
        <w:numPr>
          <w:ilvl w:val="4"/>
          <w:numId w:val="79"/>
        </w:numPr>
        <w:pBdr>
          <w:top w:val="nil"/>
          <w:left w:val="nil"/>
          <w:bottom w:val="nil"/>
          <w:right w:val="nil"/>
          <w:between w:val="nil"/>
        </w:pBdr>
        <w:ind w:left="1800"/>
        <w:rPr>
          <w:rFonts w:ascii="Cambria" w:eastAsia="Cambria" w:hAnsi="Cambria" w:cs="Cambria"/>
          <w:color w:val="000000"/>
        </w:rPr>
      </w:pPr>
      <w:r>
        <w:rPr>
          <w:rFonts w:ascii="Cambria" w:eastAsia="Cambria" w:hAnsi="Cambria" w:cs="Cambria"/>
          <w:color w:val="000000"/>
        </w:rPr>
        <w:t>The program must evaluate students’ competencies in both profession‐defined and program‐defined areas. By the time of degree completion, each student must demonstrate achievement of both the profession‐wide competencies and those required by the program. Thus, for each competency, the program must:</w:t>
      </w:r>
    </w:p>
    <w:p w14:paraId="00000705" w14:textId="77777777" w:rsidR="00CD3527" w:rsidRDefault="007F4AED">
      <w:pPr>
        <w:numPr>
          <w:ilvl w:val="5"/>
          <w:numId w:val="79"/>
        </w:numPr>
        <w:pBdr>
          <w:top w:val="nil"/>
          <w:left w:val="nil"/>
          <w:bottom w:val="nil"/>
          <w:right w:val="nil"/>
          <w:between w:val="nil"/>
        </w:pBdr>
        <w:ind w:left="2160"/>
        <w:rPr>
          <w:rFonts w:ascii="Cambria" w:eastAsia="Cambria" w:hAnsi="Cambria" w:cs="Cambria"/>
          <w:color w:val="000000"/>
        </w:rPr>
      </w:pPr>
      <w:r>
        <w:rPr>
          <w:rFonts w:ascii="Cambria" w:eastAsia="Cambria" w:hAnsi="Cambria" w:cs="Cambria"/>
          <w:color w:val="000000"/>
        </w:rPr>
        <w:t xml:space="preserve">Specify how it evaluates student performance, and the minimum level of achievement or performance required of the student to demonstrate competency. Programs must demonstrate how their evaluation methods and minimum levels of achievement are appropriate for the measurement of each competency. The level of achievement expected should reflect the current standards for the profession. </w:t>
      </w:r>
    </w:p>
    <w:p w14:paraId="00000706" w14:textId="77777777" w:rsidR="00CD3527" w:rsidRDefault="007F4AED">
      <w:pPr>
        <w:numPr>
          <w:ilvl w:val="5"/>
          <w:numId w:val="79"/>
        </w:numPr>
        <w:pBdr>
          <w:top w:val="nil"/>
          <w:left w:val="nil"/>
          <w:bottom w:val="nil"/>
          <w:right w:val="nil"/>
          <w:between w:val="nil"/>
        </w:pBdr>
        <w:ind w:left="2160"/>
        <w:rPr>
          <w:rFonts w:ascii="Cambria" w:eastAsia="Cambria" w:hAnsi="Cambria" w:cs="Cambria"/>
          <w:color w:val="000000"/>
        </w:rPr>
      </w:pPr>
      <w:r>
        <w:rPr>
          <w:rFonts w:ascii="Cambria" w:eastAsia="Cambria" w:hAnsi="Cambria" w:cs="Cambria"/>
          <w:color w:val="000000"/>
        </w:rPr>
        <w:t xml:space="preserve">Provide outcome data that clearly demonstrate that by the time of degree completion, all students have reached the appropriate level of achievement in each profession‐wide competency as well as in each program‐defined competency. While the program has flexibility in deciding what outcome data to present, the data </w:t>
      </w:r>
      <w:r>
        <w:rPr>
          <w:rFonts w:ascii="Cambria" w:eastAsia="Cambria" w:hAnsi="Cambria" w:cs="Cambria"/>
          <w:color w:val="000000"/>
        </w:rPr>
        <w:lastRenderedPageBreak/>
        <w:t>should reflect assessment that is consistent with best practices in student competency evaluation.</w:t>
      </w:r>
    </w:p>
    <w:p w14:paraId="00000707" w14:textId="77777777" w:rsidR="00CD3527" w:rsidRDefault="007F4AED">
      <w:pPr>
        <w:numPr>
          <w:ilvl w:val="5"/>
          <w:numId w:val="79"/>
        </w:numPr>
        <w:pBdr>
          <w:top w:val="nil"/>
          <w:left w:val="nil"/>
          <w:bottom w:val="nil"/>
          <w:right w:val="nil"/>
          <w:between w:val="nil"/>
        </w:pBdr>
        <w:ind w:left="2160"/>
        <w:rPr>
          <w:rFonts w:ascii="Cambria" w:eastAsia="Cambria" w:hAnsi="Cambria" w:cs="Cambria"/>
          <w:color w:val="000000"/>
        </w:rPr>
      </w:pPr>
      <w:r>
        <w:rPr>
          <w:rFonts w:ascii="Cambria" w:eastAsia="Cambria" w:hAnsi="Cambria" w:cs="Cambria"/>
          <w:color w:val="000000"/>
        </w:rPr>
        <w:t>Present formative and summative evaluations linked to exit criteria, as well as data demonstrating achievement of competencies, for each student in the program.</w:t>
      </w:r>
    </w:p>
    <w:p w14:paraId="00000708" w14:textId="77777777" w:rsidR="00CD3527" w:rsidRDefault="007F4AED">
      <w:pPr>
        <w:numPr>
          <w:ilvl w:val="4"/>
          <w:numId w:val="79"/>
        </w:numPr>
        <w:pBdr>
          <w:top w:val="nil"/>
          <w:left w:val="nil"/>
          <w:bottom w:val="nil"/>
          <w:right w:val="nil"/>
          <w:between w:val="nil"/>
        </w:pBdr>
        <w:tabs>
          <w:tab w:val="left" w:pos="3060"/>
        </w:tabs>
        <w:ind w:left="1800"/>
        <w:rPr>
          <w:rFonts w:ascii="Cambria" w:eastAsia="Cambria" w:hAnsi="Cambria" w:cs="Cambria"/>
          <w:color w:val="000000"/>
        </w:rPr>
      </w:pPr>
      <w:r>
        <w:rPr>
          <w:rFonts w:ascii="Cambria" w:eastAsia="Cambria" w:hAnsi="Cambria" w:cs="Cambria"/>
          <w:color w:val="000000"/>
        </w:rPr>
        <w:t>For program graduates, the program must provide distal evidence of students’ competencies and program effectiveness and must evaluate graduates’ career paths in health service psychology after they have left the program.</w:t>
      </w:r>
    </w:p>
    <w:p w14:paraId="00000709" w14:textId="77777777" w:rsidR="00CD3527" w:rsidRDefault="007F4AED">
      <w:pPr>
        <w:numPr>
          <w:ilvl w:val="5"/>
          <w:numId w:val="79"/>
        </w:numPr>
        <w:pBdr>
          <w:top w:val="nil"/>
          <w:left w:val="nil"/>
          <w:bottom w:val="nil"/>
          <w:right w:val="nil"/>
          <w:between w:val="nil"/>
        </w:pBdr>
        <w:tabs>
          <w:tab w:val="left" w:pos="3060"/>
        </w:tabs>
        <w:ind w:left="2160"/>
        <w:rPr>
          <w:rFonts w:ascii="Cambria" w:eastAsia="Cambria" w:hAnsi="Cambria" w:cs="Cambria"/>
          <w:color w:val="000000"/>
        </w:rPr>
      </w:pPr>
      <w:r>
        <w:rPr>
          <w:rFonts w:ascii="Cambria" w:eastAsia="Cambria" w:hAnsi="Cambria" w:cs="Cambria"/>
          <w:color w:val="000000"/>
        </w:rPr>
        <w:t xml:space="preserve">Two years after graduation, the program must provide data on how well the program prepared students in each profession‐wide and program‐specific competency. The program must also provide data on students’ job placement and licensure rates. </w:t>
      </w:r>
    </w:p>
    <w:p w14:paraId="0000070A" w14:textId="77777777" w:rsidR="00CD3527" w:rsidRDefault="007F4AED">
      <w:pPr>
        <w:numPr>
          <w:ilvl w:val="5"/>
          <w:numId w:val="79"/>
        </w:numPr>
        <w:pBdr>
          <w:top w:val="nil"/>
          <w:left w:val="nil"/>
          <w:bottom w:val="nil"/>
          <w:right w:val="nil"/>
          <w:between w:val="nil"/>
        </w:pBdr>
        <w:tabs>
          <w:tab w:val="left" w:pos="3060"/>
        </w:tabs>
        <w:ind w:left="2160"/>
        <w:rPr>
          <w:rFonts w:ascii="Cambria" w:eastAsia="Cambria" w:hAnsi="Cambria" w:cs="Cambria"/>
          <w:color w:val="000000"/>
        </w:rPr>
      </w:pPr>
      <w:r>
        <w:rPr>
          <w:rFonts w:ascii="Cambria" w:eastAsia="Cambria" w:hAnsi="Cambria" w:cs="Cambria"/>
          <w:color w:val="000000"/>
        </w:rPr>
        <w:t>At 5 years post‐graduation, the program must provide data on graduates, including data on graduates’ licensure (as appropriate for their current job duties) and their scholarly/research contributions (as consistent with the program’s aims).</w:t>
      </w:r>
    </w:p>
    <w:p w14:paraId="0000070B" w14:textId="77777777" w:rsidR="00CD3527" w:rsidRDefault="007F4AED">
      <w:pPr>
        <w:numPr>
          <w:ilvl w:val="3"/>
          <w:numId w:val="79"/>
        </w:numPr>
        <w:pBdr>
          <w:top w:val="nil"/>
          <w:left w:val="nil"/>
          <w:bottom w:val="nil"/>
          <w:right w:val="nil"/>
          <w:between w:val="nil"/>
        </w:pBdr>
        <w:tabs>
          <w:tab w:val="left" w:pos="3060"/>
        </w:tabs>
        <w:ind w:left="1440"/>
        <w:rPr>
          <w:rFonts w:ascii="Cambria" w:eastAsia="Cambria" w:hAnsi="Cambria" w:cs="Cambria"/>
          <w:b/>
          <w:color w:val="000000"/>
        </w:rPr>
      </w:pPr>
      <w:r>
        <w:rPr>
          <w:rFonts w:ascii="Cambria" w:eastAsia="Cambria" w:hAnsi="Cambria" w:cs="Cambria"/>
          <w:b/>
          <w:color w:val="000000"/>
        </w:rPr>
        <w:t>Evaluation of Program Effectiveness and Quality Improvement Efforts</w:t>
      </w:r>
    </w:p>
    <w:p w14:paraId="0000070C" w14:textId="77777777" w:rsidR="00CD3527" w:rsidRDefault="007F4AED">
      <w:pPr>
        <w:numPr>
          <w:ilvl w:val="4"/>
          <w:numId w:val="79"/>
        </w:numPr>
        <w:pBdr>
          <w:top w:val="nil"/>
          <w:left w:val="nil"/>
          <w:bottom w:val="nil"/>
          <w:right w:val="nil"/>
          <w:between w:val="nil"/>
        </w:pBdr>
        <w:tabs>
          <w:tab w:val="left" w:pos="3060"/>
        </w:tabs>
        <w:ind w:left="1800"/>
        <w:rPr>
          <w:rFonts w:ascii="Cambria" w:eastAsia="Cambria" w:hAnsi="Cambria" w:cs="Cambria"/>
          <w:color w:val="000000"/>
        </w:rPr>
      </w:pPr>
      <w:r>
        <w:rPr>
          <w:rFonts w:ascii="Cambria" w:eastAsia="Cambria" w:hAnsi="Cambria" w:cs="Cambria"/>
          <w:color w:val="000000"/>
        </w:rPr>
        <w:t xml:space="preserve">The program must demonstrate a commitment to ensure competence in health service psychology through ongoing self‐evaluation in order to monitor its performance and contribution to the fulfilment of its sponsor institution’s mission. </w:t>
      </w:r>
    </w:p>
    <w:p w14:paraId="0000070D" w14:textId="77777777" w:rsidR="00CD3527" w:rsidRDefault="007F4AED">
      <w:pPr>
        <w:numPr>
          <w:ilvl w:val="4"/>
          <w:numId w:val="79"/>
        </w:numPr>
        <w:pBdr>
          <w:top w:val="nil"/>
          <w:left w:val="nil"/>
          <w:bottom w:val="nil"/>
          <w:right w:val="nil"/>
          <w:between w:val="nil"/>
        </w:pBdr>
        <w:tabs>
          <w:tab w:val="left" w:pos="3060"/>
        </w:tabs>
        <w:ind w:left="1800"/>
        <w:rPr>
          <w:rFonts w:ascii="Cambria" w:eastAsia="Cambria" w:hAnsi="Cambria" w:cs="Cambria"/>
          <w:color w:val="000000"/>
        </w:rPr>
      </w:pPr>
      <w:r>
        <w:rPr>
          <w:rFonts w:ascii="Cambria" w:eastAsia="Cambria" w:hAnsi="Cambria" w:cs="Cambria"/>
          <w:color w:val="000000"/>
        </w:rPr>
        <w:t xml:space="preserve">The program must document mechanisms for engaging in regular, ongoing self‐ assessment that: </w:t>
      </w:r>
    </w:p>
    <w:p w14:paraId="0000070E" w14:textId="77777777" w:rsidR="00CD3527" w:rsidRDefault="007F4AED">
      <w:pPr>
        <w:numPr>
          <w:ilvl w:val="5"/>
          <w:numId w:val="79"/>
        </w:numPr>
        <w:pBdr>
          <w:top w:val="nil"/>
          <w:left w:val="nil"/>
          <w:bottom w:val="nil"/>
          <w:right w:val="nil"/>
          <w:between w:val="nil"/>
        </w:pBdr>
        <w:tabs>
          <w:tab w:val="left" w:pos="3060"/>
        </w:tabs>
        <w:ind w:left="2160"/>
        <w:rPr>
          <w:rFonts w:ascii="Cambria" w:eastAsia="Cambria" w:hAnsi="Cambria" w:cs="Cambria"/>
          <w:color w:val="000000"/>
        </w:rPr>
      </w:pPr>
      <w:r>
        <w:rPr>
          <w:rFonts w:ascii="Cambria" w:eastAsia="Cambria" w:hAnsi="Cambria" w:cs="Cambria"/>
          <w:color w:val="000000"/>
        </w:rPr>
        <w:t xml:space="preserve">Involves program stakeholders, including faculty, students, graduates, and others involved in the training program. </w:t>
      </w:r>
    </w:p>
    <w:p w14:paraId="0000070F" w14:textId="77777777" w:rsidR="00CD3527" w:rsidRDefault="007F4AED">
      <w:pPr>
        <w:numPr>
          <w:ilvl w:val="5"/>
          <w:numId w:val="79"/>
        </w:numPr>
        <w:pBdr>
          <w:top w:val="nil"/>
          <w:left w:val="nil"/>
          <w:bottom w:val="nil"/>
          <w:right w:val="nil"/>
          <w:between w:val="nil"/>
        </w:pBdr>
        <w:tabs>
          <w:tab w:val="left" w:pos="3060"/>
        </w:tabs>
        <w:ind w:left="2160"/>
        <w:rPr>
          <w:rFonts w:ascii="Cambria" w:eastAsia="Cambria" w:hAnsi="Cambria" w:cs="Cambria"/>
          <w:color w:val="000000"/>
        </w:rPr>
      </w:pPr>
      <w:r>
        <w:rPr>
          <w:rFonts w:ascii="Cambria" w:eastAsia="Cambria" w:hAnsi="Cambria" w:cs="Cambria"/>
          <w:color w:val="000000"/>
        </w:rPr>
        <w:t xml:space="preserve">Evaluates its effectiveness in training students who, by the time of graduation, demonstrate the competencies required by the profession and the program, and who after graduation are able to engage in professional activities consistent with health service psychology and with the program’s aims. </w:t>
      </w:r>
    </w:p>
    <w:p w14:paraId="00000710" w14:textId="77777777" w:rsidR="00CD3527" w:rsidRDefault="007F4AED">
      <w:pPr>
        <w:numPr>
          <w:ilvl w:val="5"/>
          <w:numId w:val="79"/>
        </w:numPr>
        <w:pBdr>
          <w:top w:val="nil"/>
          <w:left w:val="nil"/>
          <w:bottom w:val="nil"/>
          <w:right w:val="nil"/>
          <w:between w:val="nil"/>
        </w:pBdr>
        <w:tabs>
          <w:tab w:val="left" w:pos="3060"/>
        </w:tabs>
        <w:ind w:left="2160"/>
        <w:rPr>
          <w:rFonts w:ascii="Cambria" w:eastAsia="Cambria" w:hAnsi="Cambria" w:cs="Cambria"/>
          <w:color w:val="000000"/>
        </w:rPr>
      </w:pPr>
      <w:r>
        <w:rPr>
          <w:rFonts w:ascii="Cambria" w:eastAsia="Cambria" w:hAnsi="Cambria" w:cs="Cambria"/>
          <w:color w:val="000000"/>
        </w:rPr>
        <w:t>Evaluates the currency and appropriateness of its aims, curriculum, and policies and procedures with respect to the following: its sponsor institution’s mission and goals; local, state/provincial, regional, and national needs for psychological services; national standards for health service psychology; and the evolving evidence base of the profession.</w:t>
      </w:r>
    </w:p>
    <w:p w14:paraId="00000711" w14:textId="77777777" w:rsidR="00CD3527" w:rsidRDefault="007F4AED">
      <w:pPr>
        <w:numPr>
          <w:ilvl w:val="5"/>
          <w:numId w:val="79"/>
        </w:numPr>
        <w:pBdr>
          <w:top w:val="nil"/>
          <w:left w:val="nil"/>
          <w:bottom w:val="nil"/>
          <w:right w:val="nil"/>
          <w:between w:val="nil"/>
        </w:pBdr>
        <w:tabs>
          <w:tab w:val="left" w:pos="3060"/>
        </w:tabs>
        <w:ind w:left="2160"/>
        <w:rPr>
          <w:rFonts w:ascii="Cambria" w:eastAsia="Cambria" w:hAnsi="Cambria" w:cs="Cambria"/>
          <w:color w:val="000000"/>
        </w:rPr>
      </w:pPr>
      <w:r>
        <w:rPr>
          <w:rFonts w:ascii="Cambria" w:eastAsia="Cambria" w:hAnsi="Cambria" w:cs="Cambria"/>
          <w:color w:val="000000"/>
        </w:rPr>
        <w:t>Identifies potential areas for improvement.</w:t>
      </w:r>
    </w:p>
    <w:p w14:paraId="00000712" w14:textId="77777777" w:rsidR="00CD3527" w:rsidRDefault="007F4AED">
      <w:pPr>
        <w:numPr>
          <w:ilvl w:val="3"/>
          <w:numId w:val="79"/>
        </w:numPr>
        <w:pBdr>
          <w:top w:val="nil"/>
          <w:left w:val="nil"/>
          <w:bottom w:val="nil"/>
          <w:right w:val="nil"/>
          <w:between w:val="nil"/>
        </w:pBdr>
        <w:tabs>
          <w:tab w:val="left" w:pos="3060"/>
        </w:tabs>
        <w:ind w:left="1440"/>
        <w:rPr>
          <w:rFonts w:ascii="Cambria" w:eastAsia="Cambria" w:hAnsi="Cambria" w:cs="Cambria"/>
          <w:b/>
          <w:color w:val="000000"/>
        </w:rPr>
      </w:pPr>
      <w:r>
        <w:rPr>
          <w:rFonts w:ascii="Cambria" w:eastAsia="Cambria" w:hAnsi="Cambria" w:cs="Cambria"/>
          <w:b/>
          <w:color w:val="000000"/>
        </w:rPr>
        <w:t xml:space="preserve">Documenting and Achieving Outcomes Demonstrating Program’s Effectiveness. </w:t>
      </w:r>
      <w:r>
        <w:rPr>
          <w:rFonts w:ascii="Cambria" w:eastAsia="Cambria" w:hAnsi="Cambria" w:cs="Cambria"/>
          <w:color w:val="000000"/>
        </w:rPr>
        <w:t>All accredited doctoral programs are expected to document student achievement while in the program and to look at post‐graduation outcomes.  Accredited programs are also expected to prepare students for entry‐level practice and the program’s achievement of this should be reflected in student success in achieving licensure after completion of the program.</w:t>
      </w:r>
    </w:p>
    <w:p w14:paraId="00000713" w14:textId="77777777" w:rsidR="00CD3527" w:rsidRDefault="007F4AED">
      <w:pPr>
        <w:numPr>
          <w:ilvl w:val="4"/>
          <w:numId w:val="79"/>
        </w:numPr>
        <w:pBdr>
          <w:top w:val="nil"/>
          <w:left w:val="nil"/>
          <w:bottom w:val="nil"/>
          <w:right w:val="nil"/>
          <w:between w:val="nil"/>
        </w:pBdr>
        <w:tabs>
          <w:tab w:val="left" w:pos="3060"/>
        </w:tabs>
        <w:ind w:left="1800"/>
        <w:rPr>
          <w:rFonts w:ascii="Cambria" w:eastAsia="Cambria" w:hAnsi="Cambria" w:cs="Cambria"/>
          <w:color w:val="000000"/>
        </w:rPr>
      </w:pPr>
      <w:r>
        <w:rPr>
          <w:rFonts w:ascii="Cambria" w:eastAsia="Cambria" w:hAnsi="Cambria" w:cs="Cambria"/>
          <w:color w:val="000000"/>
        </w:rPr>
        <w:lastRenderedPageBreak/>
        <w:t xml:space="preserve">The outcomes of program graduates including licensure rate and other proximal and distal outcomes of program graduates shall be evaluated within the context of: the requirement that all accredited doctoral programs prepare students for entry‐level practice; each program’s expressed and implied stated educational aims and competencies; and statements made by the program to the public.  </w:t>
      </w:r>
    </w:p>
    <w:p w14:paraId="00000714" w14:textId="77777777" w:rsidR="00CD3527" w:rsidRDefault="007F4AED">
      <w:pPr>
        <w:numPr>
          <w:ilvl w:val="4"/>
          <w:numId w:val="79"/>
        </w:numPr>
        <w:pBdr>
          <w:top w:val="nil"/>
          <w:left w:val="nil"/>
          <w:bottom w:val="nil"/>
          <w:right w:val="nil"/>
          <w:between w:val="nil"/>
        </w:pBdr>
        <w:tabs>
          <w:tab w:val="left" w:pos="3060"/>
        </w:tabs>
        <w:ind w:left="1800"/>
        <w:rPr>
          <w:rFonts w:ascii="Cambria" w:eastAsia="Cambria" w:hAnsi="Cambria" w:cs="Cambria"/>
          <w:color w:val="000000"/>
        </w:rPr>
      </w:pPr>
      <w:r>
        <w:rPr>
          <w:rFonts w:ascii="Cambria" w:eastAsia="Cambria" w:hAnsi="Cambria" w:cs="Cambria"/>
          <w:color w:val="000000"/>
        </w:rPr>
        <w:t>Doctoral programs’ specific educational aims and expected competencies may differ from one another; therefore there is no specified threshold or minimum number for reviewing a program’s licensure rate. Instead the Commission on Accreditation shall use its professional judgment to determine if the program’s licensure rate, in combination with other factors, such as attrition of students from the program and their time to degree, demonstrates students’ successful preparation for entry‐level practice in health service psychology.</w:t>
      </w:r>
    </w:p>
    <w:p w14:paraId="00000715" w14:textId="77777777" w:rsidR="00CD3527" w:rsidRDefault="00CD3527">
      <w:pPr>
        <w:pBdr>
          <w:top w:val="nil"/>
          <w:left w:val="nil"/>
          <w:bottom w:val="nil"/>
          <w:right w:val="nil"/>
          <w:between w:val="nil"/>
        </w:pBdr>
        <w:tabs>
          <w:tab w:val="left" w:pos="3060"/>
        </w:tabs>
        <w:ind w:left="1800"/>
        <w:rPr>
          <w:rFonts w:ascii="Cambria" w:eastAsia="Cambria" w:hAnsi="Cambria" w:cs="Cambria"/>
          <w:color w:val="000000"/>
        </w:rPr>
      </w:pPr>
    </w:p>
    <w:p w14:paraId="00000716" w14:textId="77777777" w:rsidR="00CD3527" w:rsidRDefault="00CD3527">
      <w:pPr>
        <w:pBdr>
          <w:top w:val="nil"/>
          <w:left w:val="nil"/>
          <w:bottom w:val="nil"/>
          <w:right w:val="nil"/>
          <w:between w:val="nil"/>
        </w:pBdr>
        <w:tabs>
          <w:tab w:val="left" w:pos="3060"/>
        </w:tabs>
        <w:ind w:left="1800"/>
        <w:rPr>
          <w:rFonts w:ascii="Cambria" w:eastAsia="Cambria" w:hAnsi="Cambria" w:cs="Cambria"/>
          <w:color w:val="000000"/>
        </w:rPr>
      </w:pPr>
    </w:p>
    <w:p w14:paraId="00000717" w14:textId="77777777" w:rsidR="00CD3527" w:rsidRDefault="007F4AED">
      <w:pPr>
        <w:pBdr>
          <w:top w:val="nil"/>
          <w:left w:val="nil"/>
          <w:bottom w:val="nil"/>
          <w:right w:val="nil"/>
          <w:between w:val="nil"/>
        </w:pBdr>
        <w:tabs>
          <w:tab w:val="left" w:pos="3060"/>
        </w:tabs>
        <w:jc w:val="center"/>
        <w:rPr>
          <w:rFonts w:ascii="Cambria" w:eastAsia="Cambria" w:hAnsi="Cambria" w:cs="Cambria"/>
          <w:b/>
          <w:color w:val="000000"/>
          <w:sz w:val="28"/>
          <w:szCs w:val="28"/>
        </w:rPr>
      </w:pPr>
      <w:r>
        <w:rPr>
          <w:rFonts w:ascii="Cambria" w:eastAsia="Cambria" w:hAnsi="Cambria" w:cs="Cambria"/>
          <w:b/>
          <w:color w:val="000000"/>
          <w:sz w:val="28"/>
          <w:szCs w:val="28"/>
        </w:rPr>
        <w:t>III. Students</w:t>
      </w:r>
    </w:p>
    <w:p w14:paraId="00000718" w14:textId="77777777" w:rsidR="00CD3527" w:rsidRDefault="00CD3527">
      <w:pPr>
        <w:pBdr>
          <w:top w:val="nil"/>
          <w:left w:val="nil"/>
          <w:bottom w:val="nil"/>
          <w:right w:val="nil"/>
          <w:between w:val="nil"/>
        </w:pBdr>
        <w:tabs>
          <w:tab w:val="left" w:pos="3060"/>
        </w:tabs>
        <w:rPr>
          <w:rFonts w:ascii="Cambria" w:eastAsia="Cambria" w:hAnsi="Cambria" w:cs="Cambria"/>
          <w:color w:val="000000"/>
        </w:rPr>
      </w:pPr>
    </w:p>
    <w:p w14:paraId="00000719" w14:textId="77777777" w:rsidR="00CD3527" w:rsidRDefault="007F4AED">
      <w:pPr>
        <w:pBdr>
          <w:top w:val="nil"/>
          <w:left w:val="nil"/>
          <w:bottom w:val="nil"/>
          <w:right w:val="nil"/>
          <w:between w:val="nil"/>
        </w:pBdr>
        <w:tabs>
          <w:tab w:val="left" w:pos="3060"/>
        </w:tabs>
        <w:rPr>
          <w:rFonts w:ascii="Cambria" w:eastAsia="Cambria" w:hAnsi="Cambria" w:cs="Cambria"/>
          <w:b/>
          <w:color w:val="000000"/>
        </w:rPr>
      </w:pPr>
      <w:r>
        <w:rPr>
          <w:rFonts w:ascii="Cambria" w:eastAsia="Cambria" w:hAnsi="Cambria" w:cs="Cambria"/>
          <w:b/>
          <w:color w:val="000000"/>
        </w:rPr>
        <w:t>A. Student Selection Processes and Criteria</w:t>
      </w:r>
    </w:p>
    <w:p w14:paraId="0000071A" w14:textId="77777777" w:rsidR="00CD3527" w:rsidRDefault="007F4AED">
      <w:pPr>
        <w:numPr>
          <w:ilvl w:val="0"/>
          <w:numId w:val="82"/>
        </w:numPr>
        <w:pBdr>
          <w:top w:val="nil"/>
          <w:left w:val="nil"/>
          <w:bottom w:val="nil"/>
          <w:right w:val="nil"/>
          <w:between w:val="nil"/>
        </w:pBdr>
        <w:tabs>
          <w:tab w:val="left" w:pos="3060"/>
        </w:tabs>
        <w:rPr>
          <w:rFonts w:ascii="Cambria" w:eastAsia="Cambria" w:hAnsi="Cambria" w:cs="Cambria"/>
          <w:color w:val="000000"/>
        </w:rPr>
      </w:pPr>
      <w:r>
        <w:rPr>
          <w:rFonts w:ascii="Cambria" w:eastAsia="Cambria" w:hAnsi="Cambria" w:cs="Cambria"/>
          <w:color w:val="000000"/>
        </w:rPr>
        <w:t xml:space="preserve">The program has an identifiable body of students at different levels of matriculation who: </w:t>
      </w:r>
    </w:p>
    <w:p w14:paraId="0000071B" w14:textId="77777777" w:rsidR="00CD3527" w:rsidRDefault="007F4AED">
      <w:pPr>
        <w:numPr>
          <w:ilvl w:val="1"/>
          <w:numId w:val="82"/>
        </w:numPr>
        <w:pBdr>
          <w:top w:val="nil"/>
          <w:left w:val="nil"/>
          <w:bottom w:val="nil"/>
          <w:right w:val="nil"/>
          <w:between w:val="nil"/>
        </w:pBdr>
        <w:tabs>
          <w:tab w:val="left" w:pos="3060"/>
        </w:tabs>
        <w:ind w:left="1800"/>
        <w:rPr>
          <w:rFonts w:ascii="Cambria" w:eastAsia="Cambria" w:hAnsi="Cambria" w:cs="Cambria"/>
          <w:color w:val="000000"/>
        </w:rPr>
      </w:pPr>
      <w:r>
        <w:rPr>
          <w:rFonts w:ascii="Cambria" w:eastAsia="Cambria" w:hAnsi="Cambria" w:cs="Cambria"/>
          <w:color w:val="000000"/>
        </w:rPr>
        <w:t>constitute a number that allows opportunities for meaningful peer interaction, support, and socialization.</w:t>
      </w:r>
    </w:p>
    <w:p w14:paraId="0000071C" w14:textId="77777777" w:rsidR="00CD3527" w:rsidRDefault="007F4AED">
      <w:pPr>
        <w:numPr>
          <w:ilvl w:val="1"/>
          <w:numId w:val="82"/>
        </w:numPr>
        <w:pBdr>
          <w:top w:val="nil"/>
          <w:left w:val="nil"/>
          <w:bottom w:val="nil"/>
          <w:right w:val="nil"/>
          <w:between w:val="nil"/>
        </w:pBdr>
        <w:tabs>
          <w:tab w:val="left" w:pos="3060"/>
        </w:tabs>
        <w:ind w:left="1800"/>
        <w:rPr>
          <w:rFonts w:ascii="Cambria" w:eastAsia="Cambria" w:hAnsi="Cambria" w:cs="Cambria"/>
          <w:color w:val="000000"/>
        </w:rPr>
      </w:pPr>
      <w:r>
        <w:rPr>
          <w:rFonts w:ascii="Cambria" w:eastAsia="Cambria" w:hAnsi="Cambria" w:cs="Cambria"/>
          <w:color w:val="000000"/>
        </w:rPr>
        <w:t>are reflective of a systematic, multiple‐year plan, implemented and sustained over time, designed to attract students from a range of diverse backgrounds as outlined in the Glossary.</w:t>
      </w:r>
    </w:p>
    <w:p w14:paraId="0000071D" w14:textId="77777777" w:rsidR="00CD3527" w:rsidRDefault="007F4AED">
      <w:pPr>
        <w:numPr>
          <w:ilvl w:val="2"/>
          <w:numId w:val="82"/>
        </w:numPr>
        <w:pBdr>
          <w:top w:val="nil"/>
          <w:left w:val="nil"/>
          <w:bottom w:val="nil"/>
          <w:right w:val="nil"/>
          <w:between w:val="nil"/>
        </w:pBdr>
        <w:tabs>
          <w:tab w:val="left" w:pos="3060"/>
        </w:tabs>
        <w:ind w:left="2160"/>
        <w:rPr>
          <w:rFonts w:ascii="Cambria" w:eastAsia="Cambria" w:hAnsi="Cambria" w:cs="Cambria"/>
          <w:color w:val="000000"/>
        </w:rPr>
      </w:pPr>
      <w:r>
        <w:rPr>
          <w:rFonts w:ascii="Cambria" w:eastAsia="Cambria" w:hAnsi="Cambria" w:cs="Cambria"/>
          <w:color w:val="000000"/>
        </w:rPr>
        <w:t xml:space="preserve">The program must implement specific activities, approaches, and initiatives to increase diversity among its students. It may participate in institutional‐level initiatives aimed toward achieving diversity, but these alone are not sufficient. </w:t>
      </w:r>
    </w:p>
    <w:p w14:paraId="0000071E" w14:textId="77777777" w:rsidR="00CD3527" w:rsidRDefault="007F4AED">
      <w:pPr>
        <w:numPr>
          <w:ilvl w:val="2"/>
          <w:numId w:val="82"/>
        </w:numPr>
        <w:pBdr>
          <w:top w:val="nil"/>
          <w:left w:val="nil"/>
          <w:bottom w:val="nil"/>
          <w:right w:val="nil"/>
          <w:between w:val="nil"/>
        </w:pBdr>
        <w:tabs>
          <w:tab w:val="left" w:pos="3060"/>
        </w:tabs>
        <w:ind w:left="2160"/>
        <w:rPr>
          <w:rFonts w:ascii="Cambria" w:eastAsia="Cambria" w:hAnsi="Cambria" w:cs="Cambria"/>
          <w:color w:val="000000"/>
        </w:rPr>
      </w:pPr>
      <w:r>
        <w:rPr>
          <w:rFonts w:ascii="Cambria" w:eastAsia="Cambria" w:hAnsi="Cambria" w:cs="Cambria"/>
          <w:color w:val="000000"/>
        </w:rPr>
        <w:t>The program should document the concrete actions it is taking to achieve diversity, identifying the areas of diversity recruitment in which it excels as well as the areas in which it is working to improve. The program should demonstrate that it examines the effectiveness of its efforts to attract students who are diverse and document any steps needed to revise/enhance its strategies.</w:t>
      </w:r>
    </w:p>
    <w:p w14:paraId="0000071F" w14:textId="77777777" w:rsidR="00CD3527" w:rsidRDefault="007F4AED">
      <w:pPr>
        <w:numPr>
          <w:ilvl w:val="1"/>
          <w:numId w:val="82"/>
        </w:numPr>
        <w:pBdr>
          <w:top w:val="nil"/>
          <w:left w:val="nil"/>
          <w:bottom w:val="nil"/>
          <w:right w:val="nil"/>
          <w:between w:val="nil"/>
        </w:pBdr>
        <w:tabs>
          <w:tab w:val="left" w:pos="3060"/>
        </w:tabs>
        <w:ind w:left="1800"/>
        <w:rPr>
          <w:rFonts w:ascii="Cambria" w:eastAsia="Cambria" w:hAnsi="Cambria" w:cs="Cambria"/>
          <w:color w:val="000000"/>
        </w:rPr>
      </w:pPr>
      <w:r>
        <w:rPr>
          <w:rFonts w:ascii="Cambria" w:eastAsia="Cambria" w:hAnsi="Cambria" w:cs="Cambria"/>
          <w:color w:val="000000"/>
        </w:rPr>
        <w:t>By prior achievement, students have demonstrated appropriate competency for the program’s aims as well as expectations for a doctoral program.</w:t>
      </w:r>
    </w:p>
    <w:p w14:paraId="00000720" w14:textId="77777777" w:rsidR="00CD3527" w:rsidRDefault="007F4AED">
      <w:pPr>
        <w:numPr>
          <w:ilvl w:val="2"/>
          <w:numId w:val="82"/>
        </w:numPr>
        <w:pBdr>
          <w:top w:val="nil"/>
          <w:left w:val="nil"/>
          <w:bottom w:val="nil"/>
          <w:right w:val="nil"/>
          <w:between w:val="nil"/>
        </w:pBdr>
        <w:tabs>
          <w:tab w:val="left" w:pos="3060"/>
        </w:tabs>
        <w:ind w:left="2160"/>
        <w:rPr>
          <w:rFonts w:ascii="Cambria" w:eastAsia="Cambria" w:hAnsi="Cambria" w:cs="Cambria"/>
          <w:color w:val="000000"/>
        </w:rPr>
      </w:pPr>
      <w:r>
        <w:rPr>
          <w:rFonts w:ascii="Cambria" w:eastAsia="Cambria" w:hAnsi="Cambria" w:cs="Cambria"/>
          <w:color w:val="000000"/>
        </w:rPr>
        <w:t xml:space="preserve">If the program has criteria for selection that involve demonstration of prior knowledge (e.g., GRE subject tests), the program must discuss how these criteria influence program requirements, are appropriate for the aims of the program, and maximize student success. </w:t>
      </w:r>
    </w:p>
    <w:p w14:paraId="00000721" w14:textId="77777777" w:rsidR="00CD3527" w:rsidRDefault="007F4AED">
      <w:pPr>
        <w:numPr>
          <w:ilvl w:val="2"/>
          <w:numId w:val="82"/>
        </w:numPr>
        <w:pBdr>
          <w:top w:val="nil"/>
          <w:left w:val="nil"/>
          <w:bottom w:val="nil"/>
          <w:right w:val="nil"/>
          <w:between w:val="nil"/>
        </w:pBdr>
        <w:tabs>
          <w:tab w:val="left" w:pos="3060"/>
        </w:tabs>
        <w:ind w:left="2160"/>
        <w:rPr>
          <w:rFonts w:ascii="Cambria" w:eastAsia="Cambria" w:hAnsi="Cambria" w:cs="Cambria"/>
          <w:color w:val="000000"/>
        </w:rPr>
      </w:pPr>
      <w:r>
        <w:rPr>
          <w:rFonts w:ascii="Cambria" w:eastAsia="Cambria" w:hAnsi="Cambria" w:cs="Cambria"/>
          <w:color w:val="000000"/>
        </w:rPr>
        <w:lastRenderedPageBreak/>
        <w:t xml:space="preserve">If the program has broad entrance criteria (e.g., undergraduate or graduate GPA), the program must address how students will be prepared for advanced education and training in psychology, how the curriculum is structured in accord with the goal of graduate‐level competency, and how the criteria relative to the curriculum maximize student success. </w:t>
      </w:r>
    </w:p>
    <w:p w14:paraId="00000722" w14:textId="77777777" w:rsidR="00CD3527" w:rsidRDefault="007F4AED">
      <w:pPr>
        <w:numPr>
          <w:ilvl w:val="1"/>
          <w:numId w:val="82"/>
        </w:numPr>
        <w:pBdr>
          <w:top w:val="nil"/>
          <w:left w:val="nil"/>
          <w:bottom w:val="nil"/>
          <w:right w:val="nil"/>
          <w:between w:val="nil"/>
        </w:pBdr>
        <w:tabs>
          <w:tab w:val="left" w:pos="3060"/>
        </w:tabs>
        <w:ind w:left="1800"/>
        <w:rPr>
          <w:rFonts w:ascii="Cambria" w:eastAsia="Cambria" w:hAnsi="Cambria" w:cs="Cambria"/>
          <w:color w:val="000000"/>
        </w:rPr>
      </w:pPr>
      <w:r>
        <w:rPr>
          <w:rFonts w:ascii="Cambria" w:eastAsia="Cambria" w:hAnsi="Cambria" w:cs="Cambria"/>
          <w:color w:val="000000"/>
        </w:rPr>
        <w:t>By interest and aptitude, they are prepared to meet the program’s aims.</w:t>
      </w:r>
    </w:p>
    <w:p w14:paraId="00000723" w14:textId="77777777" w:rsidR="00CD3527" w:rsidRDefault="007F4AED">
      <w:pPr>
        <w:numPr>
          <w:ilvl w:val="1"/>
          <w:numId w:val="82"/>
        </w:numPr>
        <w:pBdr>
          <w:top w:val="nil"/>
          <w:left w:val="nil"/>
          <w:bottom w:val="nil"/>
          <w:right w:val="nil"/>
          <w:between w:val="nil"/>
        </w:pBdr>
        <w:tabs>
          <w:tab w:val="left" w:pos="3060"/>
        </w:tabs>
        <w:ind w:left="1800"/>
        <w:rPr>
          <w:rFonts w:ascii="Cambria" w:eastAsia="Cambria" w:hAnsi="Cambria" w:cs="Cambria"/>
          <w:color w:val="000000"/>
        </w:rPr>
      </w:pPr>
      <w:r>
        <w:rPr>
          <w:rFonts w:ascii="Cambria" w:eastAsia="Cambria" w:hAnsi="Cambria" w:cs="Cambria"/>
          <w:color w:val="000000"/>
        </w:rPr>
        <w:t>They reflect, through their intellectual and professional development and intended career paths, the program’s aims and philosophy.</w:t>
      </w:r>
    </w:p>
    <w:p w14:paraId="00000724" w14:textId="77777777" w:rsidR="00CD3527" w:rsidRDefault="00CD3527">
      <w:pPr>
        <w:pBdr>
          <w:top w:val="nil"/>
          <w:left w:val="nil"/>
          <w:bottom w:val="nil"/>
          <w:right w:val="nil"/>
          <w:between w:val="nil"/>
        </w:pBdr>
        <w:tabs>
          <w:tab w:val="left" w:pos="3060"/>
        </w:tabs>
        <w:rPr>
          <w:rFonts w:ascii="Cambria" w:eastAsia="Cambria" w:hAnsi="Cambria" w:cs="Cambria"/>
          <w:color w:val="000000"/>
        </w:rPr>
      </w:pPr>
    </w:p>
    <w:p w14:paraId="00000725" w14:textId="77777777" w:rsidR="00CD3527" w:rsidRDefault="007F4AED">
      <w:pPr>
        <w:pBdr>
          <w:top w:val="nil"/>
          <w:left w:val="nil"/>
          <w:bottom w:val="nil"/>
          <w:right w:val="nil"/>
          <w:between w:val="nil"/>
        </w:pBdr>
        <w:tabs>
          <w:tab w:val="left" w:pos="3060"/>
        </w:tabs>
        <w:rPr>
          <w:rFonts w:ascii="Cambria" w:eastAsia="Cambria" w:hAnsi="Cambria" w:cs="Cambria"/>
          <w:b/>
          <w:color w:val="000000"/>
        </w:rPr>
      </w:pPr>
      <w:r>
        <w:rPr>
          <w:rFonts w:ascii="Cambria" w:eastAsia="Cambria" w:hAnsi="Cambria" w:cs="Cambria"/>
          <w:b/>
          <w:color w:val="000000"/>
        </w:rPr>
        <w:t xml:space="preserve">B. Supportive Learning Environment  </w:t>
      </w:r>
    </w:p>
    <w:p w14:paraId="00000726" w14:textId="77777777" w:rsidR="00CD3527" w:rsidRDefault="007F4AED">
      <w:pPr>
        <w:numPr>
          <w:ilvl w:val="0"/>
          <w:numId w:val="84"/>
        </w:numPr>
        <w:pBdr>
          <w:top w:val="nil"/>
          <w:left w:val="nil"/>
          <w:bottom w:val="nil"/>
          <w:right w:val="nil"/>
          <w:between w:val="nil"/>
        </w:pBdr>
        <w:tabs>
          <w:tab w:val="left" w:pos="3060"/>
        </w:tabs>
        <w:rPr>
          <w:rFonts w:ascii="Cambria" w:eastAsia="Cambria" w:hAnsi="Cambria" w:cs="Cambria"/>
          <w:color w:val="000000"/>
        </w:rPr>
      </w:pPr>
      <w:r>
        <w:rPr>
          <w:rFonts w:ascii="Cambria" w:eastAsia="Cambria" w:hAnsi="Cambria" w:cs="Cambria"/>
          <w:color w:val="000000"/>
        </w:rPr>
        <w:t xml:space="preserve">Program faculty are accessible to students and provide them with guidance and supervision. They serve as appropriate professional role models and engage in actions that promote the students’ acquisition of knowledge, skills, and competencies consistent with the program's training aims. </w:t>
      </w:r>
    </w:p>
    <w:p w14:paraId="00000727" w14:textId="77777777" w:rsidR="00CD3527" w:rsidRDefault="007F4AED">
      <w:pPr>
        <w:numPr>
          <w:ilvl w:val="0"/>
          <w:numId w:val="84"/>
        </w:numPr>
        <w:pBdr>
          <w:top w:val="nil"/>
          <w:left w:val="nil"/>
          <w:bottom w:val="nil"/>
          <w:right w:val="nil"/>
          <w:between w:val="nil"/>
        </w:pBdr>
        <w:tabs>
          <w:tab w:val="left" w:pos="3060"/>
        </w:tabs>
        <w:rPr>
          <w:rFonts w:ascii="Cambria" w:eastAsia="Cambria" w:hAnsi="Cambria" w:cs="Cambria"/>
          <w:color w:val="000000"/>
        </w:rPr>
      </w:pPr>
      <w:r>
        <w:rPr>
          <w:rFonts w:ascii="Cambria" w:eastAsia="Cambria" w:hAnsi="Cambria" w:cs="Cambria"/>
          <w:color w:val="000000"/>
        </w:rPr>
        <w:t>The program recognizes the rights of students and faculty to be treated with courtesy and respect. In order to maximize the quality and effectiveness of students’ learning experiences, all interactions among students, faculty, and staff should be collegial and conducted in a manner that reflects the highest standards of the scholarly community and of the profession (see the current APA Ethical Principles of Psychologists and Code of Conduct). The program has an obligation to inform students of these principles, put procedures in place to promote productive interactions, and inform students of their avenues of recourse should problems with regard to them arise.</w:t>
      </w:r>
    </w:p>
    <w:p w14:paraId="00000728" w14:textId="77777777" w:rsidR="00CD3527" w:rsidRDefault="007F4AED">
      <w:pPr>
        <w:numPr>
          <w:ilvl w:val="0"/>
          <w:numId w:val="84"/>
        </w:numPr>
        <w:pBdr>
          <w:top w:val="nil"/>
          <w:left w:val="nil"/>
          <w:bottom w:val="nil"/>
          <w:right w:val="nil"/>
          <w:between w:val="nil"/>
        </w:pBdr>
        <w:tabs>
          <w:tab w:val="left" w:pos="3060"/>
        </w:tabs>
        <w:rPr>
          <w:rFonts w:ascii="Cambria" w:eastAsia="Cambria" w:hAnsi="Cambria" w:cs="Cambria"/>
          <w:color w:val="000000"/>
        </w:rPr>
      </w:pPr>
      <w:r>
        <w:rPr>
          <w:rFonts w:ascii="Cambria" w:eastAsia="Cambria" w:hAnsi="Cambria" w:cs="Cambria"/>
          <w:color w:val="000000"/>
        </w:rPr>
        <w:t xml:space="preserve">To ensure a supportive and encouraging learning environment for students who are diverse, the program must avoid any actions that would restrict program access on grounds that are irrelevant to success in graduate training.  </w:t>
      </w:r>
    </w:p>
    <w:p w14:paraId="00000729" w14:textId="77777777" w:rsidR="00CD3527" w:rsidRDefault="00CD3527">
      <w:pPr>
        <w:pBdr>
          <w:top w:val="nil"/>
          <w:left w:val="nil"/>
          <w:bottom w:val="nil"/>
          <w:right w:val="nil"/>
          <w:between w:val="nil"/>
        </w:pBdr>
        <w:tabs>
          <w:tab w:val="left" w:pos="3060"/>
        </w:tabs>
        <w:rPr>
          <w:rFonts w:ascii="Cambria" w:eastAsia="Cambria" w:hAnsi="Cambria" w:cs="Cambria"/>
          <w:color w:val="000000"/>
        </w:rPr>
      </w:pPr>
    </w:p>
    <w:p w14:paraId="0000072A" w14:textId="77777777" w:rsidR="00CD3527" w:rsidRDefault="007F4AED">
      <w:pPr>
        <w:pBdr>
          <w:top w:val="nil"/>
          <w:left w:val="nil"/>
          <w:bottom w:val="nil"/>
          <w:right w:val="nil"/>
          <w:between w:val="nil"/>
        </w:pBdr>
        <w:tabs>
          <w:tab w:val="left" w:pos="3060"/>
        </w:tabs>
        <w:rPr>
          <w:rFonts w:ascii="Cambria" w:eastAsia="Cambria" w:hAnsi="Cambria" w:cs="Cambria"/>
          <w:b/>
          <w:color w:val="000000"/>
        </w:rPr>
      </w:pPr>
      <w:r>
        <w:rPr>
          <w:rFonts w:ascii="Cambria" w:eastAsia="Cambria" w:hAnsi="Cambria" w:cs="Cambria"/>
          <w:b/>
          <w:color w:val="000000"/>
        </w:rPr>
        <w:t xml:space="preserve">C. Plans to Maximize Student Success  </w:t>
      </w:r>
    </w:p>
    <w:p w14:paraId="0000072B" w14:textId="77777777" w:rsidR="00CD3527" w:rsidRDefault="007F4AED">
      <w:pPr>
        <w:numPr>
          <w:ilvl w:val="0"/>
          <w:numId w:val="18"/>
        </w:numPr>
        <w:pBdr>
          <w:top w:val="nil"/>
          <w:left w:val="nil"/>
          <w:bottom w:val="nil"/>
          <w:right w:val="nil"/>
          <w:between w:val="nil"/>
        </w:pBdr>
        <w:tabs>
          <w:tab w:val="left" w:pos="3060"/>
        </w:tabs>
        <w:ind w:left="1440"/>
        <w:rPr>
          <w:rFonts w:ascii="Cambria" w:eastAsia="Cambria" w:hAnsi="Cambria" w:cs="Cambria"/>
          <w:color w:val="000000"/>
        </w:rPr>
      </w:pPr>
      <w:r>
        <w:rPr>
          <w:rFonts w:ascii="Cambria" w:eastAsia="Cambria" w:hAnsi="Cambria" w:cs="Cambria"/>
          <w:color w:val="000000"/>
        </w:rPr>
        <w:t>Program faculty engage in and document actions and procedures that actively encourage timely completion of the program and maximize student success. The program minimizes preventable causes of attrition (e.g., flawed admission procedures or unsupportive learning environments) and engages in tailored retention/completion efforts as appropriate (e.g., accommodation of student needs and special circumstances).</w:t>
      </w:r>
    </w:p>
    <w:p w14:paraId="0000072C" w14:textId="77777777" w:rsidR="00CD3527" w:rsidRDefault="007F4AED">
      <w:pPr>
        <w:numPr>
          <w:ilvl w:val="0"/>
          <w:numId w:val="18"/>
        </w:numPr>
        <w:pBdr>
          <w:top w:val="nil"/>
          <w:left w:val="nil"/>
          <w:bottom w:val="nil"/>
          <w:right w:val="nil"/>
          <w:between w:val="nil"/>
        </w:pBdr>
        <w:tabs>
          <w:tab w:val="left" w:pos="3060"/>
        </w:tabs>
        <w:ind w:left="1440"/>
        <w:rPr>
          <w:rFonts w:ascii="Cambria" w:eastAsia="Cambria" w:hAnsi="Cambria" w:cs="Cambria"/>
          <w:color w:val="000000"/>
        </w:rPr>
      </w:pPr>
      <w:r>
        <w:rPr>
          <w:rFonts w:ascii="Cambria" w:eastAsia="Cambria" w:hAnsi="Cambria" w:cs="Cambria"/>
          <w:b/>
          <w:color w:val="000000"/>
        </w:rPr>
        <w:t>Program Engagement.</w:t>
      </w:r>
      <w:r>
        <w:rPr>
          <w:rFonts w:ascii="Cambria" w:eastAsia="Cambria" w:hAnsi="Cambria" w:cs="Cambria"/>
          <w:color w:val="000000"/>
        </w:rPr>
        <w:t xml:space="preserve"> The program engages in specific activities, approaches, and initiatives to implement and maintain diversity and ensure a supportive learning environment for all students. The program may participate in institutional‐level initiatives aimed toward retaining students who are diverse, but these alone are not sufficient. Concrete program‐level actions to retain students who are diverse should be </w:t>
      </w:r>
      <w:r>
        <w:rPr>
          <w:rFonts w:ascii="Cambria" w:eastAsia="Cambria" w:hAnsi="Cambria" w:cs="Cambria"/>
          <w:color w:val="000000"/>
        </w:rPr>
        <w:lastRenderedPageBreak/>
        <w:t>integrated across key aspects of the program and should be documented. The program should also demonstrate that it examines the effectiveness of its efforts to retain students who are diverse and document any steps needed to revise/enhance its strategies.</w:t>
      </w:r>
    </w:p>
    <w:p w14:paraId="0000072D" w14:textId="77777777" w:rsidR="00CD3527" w:rsidRDefault="007F4AED">
      <w:pPr>
        <w:numPr>
          <w:ilvl w:val="0"/>
          <w:numId w:val="18"/>
        </w:numPr>
        <w:pBdr>
          <w:top w:val="nil"/>
          <w:left w:val="nil"/>
          <w:bottom w:val="nil"/>
          <w:right w:val="nil"/>
          <w:between w:val="nil"/>
        </w:pBdr>
        <w:tabs>
          <w:tab w:val="left" w:pos="3060"/>
        </w:tabs>
        <w:ind w:left="1440"/>
        <w:rPr>
          <w:rFonts w:ascii="Cambria" w:eastAsia="Cambria" w:hAnsi="Cambria" w:cs="Cambria"/>
          <w:color w:val="000000"/>
        </w:rPr>
      </w:pPr>
      <w:r>
        <w:rPr>
          <w:rFonts w:ascii="Cambria" w:eastAsia="Cambria" w:hAnsi="Cambria" w:cs="Cambria"/>
          <w:b/>
          <w:color w:val="000000"/>
        </w:rPr>
        <w:t>Feedback and Remediation.</w:t>
      </w:r>
      <w:r>
        <w:rPr>
          <w:rFonts w:ascii="Cambria" w:eastAsia="Cambria" w:hAnsi="Cambria" w:cs="Cambria"/>
          <w:color w:val="000000"/>
        </w:rPr>
        <w:t xml:space="preserve"> Students receive, at least annually and as the need is observed for it, written feedback on the extent to which they are meeting the program’s requirements and performance expectations. Such feedback should include: </w:t>
      </w:r>
    </w:p>
    <w:p w14:paraId="0000072E" w14:textId="77777777" w:rsidR="00CD3527" w:rsidRDefault="007F4AED">
      <w:pPr>
        <w:numPr>
          <w:ilvl w:val="1"/>
          <w:numId w:val="18"/>
        </w:numPr>
        <w:pBdr>
          <w:top w:val="nil"/>
          <w:left w:val="nil"/>
          <w:bottom w:val="nil"/>
          <w:right w:val="nil"/>
          <w:between w:val="nil"/>
        </w:pBdr>
        <w:tabs>
          <w:tab w:val="left" w:pos="3060"/>
        </w:tabs>
        <w:ind w:left="1800"/>
        <w:rPr>
          <w:rFonts w:ascii="Cambria" w:eastAsia="Cambria" w:hAnsi="Cambria" w:cs="Cambria"/>
          <w:color w:val="000000"/>
        </w:rPr>
      </w:pPr>
      <w:r>
        <w:rPr>
          <w:rFonts w:ascii="Cambria" w:eastAsia="Cambria" w:hAnsi="Cambria" w:cs="Cambria"/>
          <w:color w:val="000000"/>
        </w:rPr>
        <w:t xml:space="preserve">timely, written notification of any problems that have been noted and the opportunity to discuss them;  </w:t>
      </w:r>
    </w:p>
    <w:p w14:paraId="0000072F" w14:textId="77777777" w:rsidR="00CD3527" w:rsidRDefault="007F4AED">
      <w:pPr>
        <w:numPr>
          <w:ilvl w:val="1"/>
          <w:numId w:val="18"/>
        </w:numPr>
        <w:pBdr>
          <w:top w:val="nil"/>
          <w:left w:val="nil"/>
          <w:bottom w:val="nil"/>
          <w:right w:val="nil"/>
          <w:between w:val="nil"/>
        </w:pBdr>
        <w:tabs>
          <w:tab w:val="left" w:pos="3060"/>
        </w:tabs>
        <w:ind w:left="1800"/>
        <w:rPr>
          <w:rFonts w:ascii="Cambria" w:eastAsia="Cambria" w:hAnsi="Cambria" w:cs="Cambria"/>
          <w:color w:val="000000"/>
        </w:rPr>
      </w:pPr>
      <w:r>
        <w:rPr>
          <w:rFonts w:ascii="Cambria" w:eastAsia="Cambria" w:hAnsi="Cambria" w:cs="Cambria"/>
          <w:color w:val="000000"/>
        </w:rPr>
        <w:t>guidance regarding steps to remediate any problems (if remediable);</w:t>
      </w:r>
    </w:p>
    <w:p w14:paraId="00000730" w14:textId="77777777" w:rsidR="00CD3527" w:rsidRDefault="007F4AED">
      <w:pPr>
        <w:numPr>
          <w:ilvl w:val="1"/>
          <w:numId w:val="18"/>
        </w:numPr>
        <w:pBdr>
          <w:top w:val="nil"/>
          <w:left w:val="nil"/>
          <w:bottom w:val="nil"/>
          <w:right w:val="nil"/>
          <w:between w:val="nil"/>
        </w:pBdr>
        <w:tabs>
          <w:tab w:val="left" w:pos="3060"/>
        </w:tabs>
        <w:ind w:left="1800"/>
        <w:rPr>
          <w:rFonts w:ascii="Cambria" w:eastAsia="Cambria" w:hAnsi="Cambria" w:cs="Cambria"/>
          <w:color w:val="000000"/>
        </w:rPr>
      </w:pPr>
      <w:r>
        <w:rPr>
          <w:rFonts w:ascii="Cambria" w:eastAsia="Cambria" w:hAnsi="Cambria" w:cs="Cambria"/>
          <w:color w:val="000000"/>
        </w:rPr>
        <w:t>substantive, written feedback on the extent to which corrective actions have or have not been successful in addressing the issues of concern.</w:t>
      </w:r>
    </w:p>
    <w:p w14:paraId="00000731" w14:textId="77777777" w:rsidR="00CD3527" w:rsidRDefault="00CD3527">
      <w:pPr>
        <w:pBdr>
          <w:top w:val="nil"/>
          <w:left w:val="nil"/>
          <w:bottom w:val="nil"/>
          <w:right w:val="nil"/>
          <w:between w:val="nil"/>
        </w:pBdr>
        <w:tabs>
          <w:tab w:val="left" w:pos="3060"/>
        </w:tabs>
        <w:rPr>
          <w:rFonts w:ascii="Cambria" w:eastAsia="Cambria" w:hAnsi="Cambria" w:cs="Cambria"/>
          <w:color w:val="000000"/>
        </w:rPr>
      </w:pPr>
    </w:p>
    <w:p w14:paraId="00000732" w14:textId="77777777" w:rsidR="00CD3527" w:rsidRDefault="00CD3527">
      <w:pPr>
        <w:pBdr>
          <w:top w:val="nil"/>
          <w:left w:val="nil"/>
          <w:bottom w:val="nil"/>
          <w:right w:val="nil"/>
          <w:between w:val="nil"/>
        </w:pBdr>
        <w:tabs>
          <w:tab w:val="left" w:pos="3060"/>
        </w:tabs>
        <w:rPr>
          <w:rFonts w:ascii="Cambria" w:eastAsia="Cambria" w:hAnsi="Cambria" w:cs="Cambria"/>
          <w:color w:val="000000"/>
        </w:rPr>
      </w:pPr>
    </w:p>
    <w:p w14:paraId="00000733" w14:textId="77777777" w:rsidR="00CD3527" w:rsidRDefault="007F4AED">
      <w:pPr>
        <w:pBdr>
          <w:top w:val="nil"/>
          <w:left w:val="nil"/>
          <w:bottom w:val="nil"/>
          <w:right w:val="nil"/>
          <w:between w:val="nil"/>
        </w:pBdr>
        <w:tabs>
          <w:tab w:val="left" w:pos="3060"/>
        </w:tabs>
        <w:jc w:val="center"/>
        <w:rPr>
          <w:rFonts w:ascii="Cambria" w:eastAsia="Cambria" w:hAnsi="Cambria" w:cs="Cambria"/>
          <w:b/>
          <w:color w:val="000000"/>
          <w:sz w:val="28"/>
          <w:szCs w:val="28"/>
        </w:rPr>
      </w:pPr>
      <w:r>
        <w:rPr>
          <w:rFonts w:ascii="Cambria" w:eastAsia="Cambria" w:hAnsi="Cambria" w:cs="Cambria"/>
          <w:b/>
          <w:color w:val="000000"/>
          <w:sz w:val="28"/>
          <w:szCs w:val="28"/>
        </w:rPr>
        <w:t>IV. Faculty</w:t>
      </w:r>
    </w:p>
    <w:p w14:paraId="00000734" w14:textId="77777777" w:rsidR="00CD3527" w:rsidRDefault="00CD3527">
      <w:pPr>
        <w:pBdr>
          <w:top w:val="nil"/>
          <w:left w:val="nil"/>
          <w:bottom w:val="nil"/>
          <w:right w:val="nil"/>
          <w:between w:val="nil"/>
        </w:pBdr>
        <w:tabs>
          <w:tab w:val="left" w:pos="3060"/>
        </w:tabs>
        <w:rPr>
          <w:rFonts w:ascii="Cambria" w:eastAsia="Cambria" w:hAnsi="Cambria" w:cs="Cambria"/>
          <w:color w:val="000000"/>
        </w:rPr>
      </w:pPr>
    </w:p>
    <w:p w14:paraId="00000735" w14:textId="77777777" w:rsidR="00CD3527" w:rsidRDefault="007F4AED">
      <w:pPr>
        <w:pBdr>
          <w:top w:val="nil"/>
          <w:left w:val="nil"/>
          <w:bottom w:val="nil"/>
          <w:right w:val="nil"/>
          <w:between w:val="nil"/>
        </w:pBdr>
        <w:tabs>
          <w:tab w:val="left" w:pos="3060"/>
        </w:tabs>
        <w:rPr>
          <w:rFonts w:ascii="Cambria" w:eastAsia="Cambria" w:hAnsi="Cambria" w:cs="Cambria"/>
          <w:b/>
          <w:color w:val="000000"/>
        </w:rPr>
      </w:pPr>
      <w:r>
        <w:rPr>
          <w:rFonts w:ascii="Cambria" w:eastAsia="Cambria" w:hAnsi="Cambria" w:cs="Cambria"/>
          <w:b/>
          <w:color w:val="000000"/>
        </w:rPr>
        <w:t>A. Program Leadership, Administration, and Management</w:t>
      </w:r>
    </w:p>
    <w:p w14:paraId="00000736" w14:textId="77777777" w:rsidR="00CD3527" w:rsidRDefault="007F4AED">
      <w:pPr>
        <w:numPr>
          <w:ilvl w:val="0"/>
          <w:numId w:val="3"/>
        </w:numPr>
        <w:pBdr>
          <w:top w:val="nil"/>
          <w:left w:val="nil"/>
          <w:bottom w:val="nil"/>
          <w:right w:val="nil"/>
          <w:between w:val="nil"/>
        </w:pBdr>
        <w:tabs>
          <w:tab w:val="left" w:pos="3060"/>
        </w:tabs>
        <w:ind w:left="1440"/>
        <w:rPr>
          <w:rFonts w:ascii="Cambria" w:eastAsia="Cambria" w:hAnsi="Cambria" w:cs="Cambria"/>
          <w:color w:val="000000"/>
        </w:rPr>
      </w:pPr>
      <w:r>
        <w:rPr>
          <w:rFonts w:ascii="Cambria" w:eastAsia="Cambria" w:hAnsi="Cambria" w:cs="Cambria"/>
          <w:color w:val="000000"/>
        </w:rPr>
        <w:t xml:space="preserve">Leadership of the program is stable. There is a designated leader who is a doctoral‐level psychologist and a member of the core faculty. The program leader’s credentials and expertise are consistent with the program’s mission and aims and with the substantive area of health service psychology in which the program provides training. More than one individual can hold this leadership position. </w:t>
      </w:r>
    </w:p>
    <w:p w14:paraId="00000737" w14:textId="77777777" w:rsidR="00CD3527" w:rsidRDefault="007F4AED">
      <w:pPr>
        <w:numPr>
          <w:ilvl w:val="0"/>
          <w:numId w:val="3"/>
        </w:numPr>
        <w:pBdr>
          <w:top w:val="nil"/>
          <w:left w:val="nil"/>
          <w:bottom w:val="nil"/>
          <w:right w:val="nil"/>
          <w:between w:val="nil"/>
        </w:pBdr>
        <w:tabs>
          <w:tab w:val="left" w:pos="3060"/>
        </w:tabs>
        <w:ind w:left="1440"/>
        <w:rPr>
          <w:rFonts w:ascii="Cambria" w:eastAsia="Cambria" w:hAnsi="Cambria" w:cs="Cambria"/>
          <w:color w:val="000000"/>
        </w:rPr>
      </w:pPr>
      <w:r>
        <w:rPr>
          <w:rFonts w:ascii="Cambria" w:eastAsia="Cambria" w:hAnsi="Cambria" w:cs="Cambria"/>
          <w:color w:val="000000"/>
        </w:rPr>
        <w:t>The program leader(s) together with program core faculty have primary responsibility for the design, implementation, and evaluation of the program’s administrative activities (e.g., policies and procedures for student admissions, student evaluations, and arrangement of practicum experiences) and for its educational offerings (e.g., coursework, practicum experiences, and research training).</w:t>
      </w:r>
    </w:p>
    <w:p w14:paraId="00000738" w14:textId="77777777" w:rsidR="00CD3527" w:rsidRDefault="00CD3527">
      <w:pPr>
        <w:pBdr>
          <w:top w:val="nil"/>
          <w:left w:val="nil"/>
          <w:bottom w:val="nil"/>
          <w:right w:val="nil"/>
          <w:between w:val="nil"/>
        </w:pBdr>
        <w:tabs>
          <w:tab w:val="left" w:pos="3060"/>
        </w:tabs>
        <w:rPr>
          <w:rFonts w:ascii="Cambria" w:eastAsia="Cambria" w:hAnsi="Cambria" w:cs="Cambria"/>
          <w:color w:val="000000"/>
        </w:rPr>
      </w:pPr>
    </w:p>
    <w:p w14:paraId="00000739" w14:textId="77777777" w:rsidR="00CD3527" w:rsidRDefault="007F4AED">
      <w:pPr>
        <w:pBdr>
          <w:top w:val="nil"/>
          <w:left w:val="nil"/>
          <w:bottom w:val="nil"/>
          <w:right w:val="nil"/>
          <w:between w:val="nil"/>
        </w:pBdr>
        <w:tabs>
          <w:tab w:val="left" w:pos="3060"/>
        </w:tabs>
        <w:rPr>
          <w:rFonts w:ascii="Cambria" w:eastAsia="Cambria" w:hAnsi="Cambria" w:cs="Cambria"/>
          <w:b/>
          <w:color w:val="000000"/>
        </w:rPr>
      </w:pPr>
      <w:r>
        <w:rPr>
          <w:rFonts w:ascii="Cambria" w:eastAsia="Cambria" w:hAnsi="Cambria" w:cs="Cambria"/>
          <w:b/>
          <w:color w:val="000000"/>
        </w:rPr>
        <w:t>B. Faculty Qualifications and Role Modeling</w:t>
      </w:r>
    </w:p>
    <w:p w14:paraId="0000073A" w14:textId="77777777" w:rsidR="00CD3527" w:rsidRDefault="007F4AED">
      <w:pPr>
        <w:numPr>
          <w:ilvl w:val="3"/>
          <w:numId w:val="10"/>
        </w:numPr>
        <w:pBdr>
          <w:top w:val="nil"/>
          <w:left w:val="nil"/>
          <w:bottom w:val="nil"/>
          <w:right w:val="nil"/>
          <w:between w:val="nil"/>
        </w:pBdr>
        <w:tabs>
          <w:tab w:val="left" w:pos="3060"/>
        </w:tabs>
        <w:ind w:left="1440"/>
        <w:rPr>
          <w:rFonts w:ascii="Cambria" w:eastAsia="Cambria" w:hAnsi="Cambria" w:cs="Cambria"/>
          <w:b/>
          <w:color w:val="000000"/>
        </w:rPr>
      </w:pPr>
      <w:r>
        <w:rPr>
          <w:rFonts w:ascii="Cambria" w:eastAsia="Cambria" w:hAnsi="Cambria" w:cs="Cambria"/>
          <w:b/>
          <w:color w:val="000000"/>
        </w:rPr>
        <w:t xml:space="preserve">Core Faculty. </w:t>
      </w:r>
      <w:r>
        <w:rPr>
          <w:rFonts w:ascii="Cambria" w:eastAsia="Cambria" w:hAnsi="Cambria" w:cs="Cambria"/>
          <w:color w:val="000000"/>
        </w:rPr>
        <w:t xml:space="preserve">The program has an identifiable core faculty responsible for the program’s activities, educational offerings, and quality, who: </w:t>
      </w:r>
    </w:p>
    <w:p w14:paraId="0000073B" w14:textId="77777777" w:rsidR="00CD3527" w:rsidRDefault="007F4AED">
      <w:pPr>
        <w:numPr>
          <w:ilvl w:val="4"/>
          <w:numId w:val="10"/>
        </w:numPr>
        <w:pBdr>
          <w:top w:val="nil"/>
          <w:left w:val="nil"/>
          <w:bottom w:val="nil"/>
          <w:right w:val="nil"/>
          <w:between w:val="nil"/>
        </w:pBdr>
        <w:tabs>
          <w:tab w:val="left" w:pos="3060"/>
        </w:tabs>
        <w:ind w:left="1800"/>
        <w:rPr>
          <w:rFonts w:ascii="Cambria" w:eastAsia="Cambria" w:hAnsi="Cambria" w:cs="Cambria"/>
          <w:color w:val="000000"/>
        </w:rPr>
      </w:pPr>
      <w:r>
        <w:rPr>
          <w:rFonts w:ascii="Cambria" w:eastAsia="Cambria" w:hAnsi="Cambria" w:cs="Cambria"/>
          <w:color w:val="000000"/>
        </w:rPr>
        <w:t xml:space="preserve">function as an integral part of the academic unit of which the program is an element;   </w:t>
      </w:r>
    </w:p>
    <w:p w14:paraId="0000073C" w14:textId="77777777" w:rsidR="00CD3527" w:rsidRDefault="007F4AED">
      <w:pPr>
        <w:numPr>
          <w:ilvl w:val="4"/>
          <w:numId w:val="10"/>
        </w:numPr>
        <w:pBdr>
          <w:top w:val="nil"/>
          <w:left w:val="nil"/>
          <w:bottom w:val="nil"/>
          <w:right w:val="nil"/>
          <w:between w:val="nil"/>
        </w:pBdr>
        <w:tabs>
          <w:tab w:val="left" w:pos="3060"/>
        </w:tabs>
        <w:ind w:left="1800"/>
        <w:rPr>
          <w:rFonts w:ascii="Cambria" w:eastAsia="Cambria" w:hAnsi="Cambria" w:cs="Cambria"/>
          <w:color w:val="000000"/>
        </w:rPr>
      </w:pPr>
      <w:r>
        <w:rPr>
          <w:rFonts w:ascii="Cambria" w:eastAsia="Cambria" w:hAnsi="Cambria" w:cs="Cambria"/>
          <w:color w:val="000000"/>
        </w:rPr>
        <w:t xml:space="preserve">are sufficient in number for their academic and professional responsibilities;   </w:t>
      </w:r>
    </w:p>
    <w:p w14:paraId="0000073D" w14:textId="77777777" w:rsidR="00CD3527" w:rsidRDefault="007F4AED">
      <w:pPr>
        <w:numPr>
          <w:ilvl w:val="4"/>
          <w:numId w:val="10"/>
        </w:numPr>
        <w:pBdr>
          <w:top w:val="nil"/>
          <w:left w:val="nil"/>
          <w:bottom w:val="nil"/>
          <w:right w:val="nil"/>
          <w:between w:val="nil"/>
        </w:pBdr>
        <w:tabs>
          <w:tab w:val="left" w:pos="3060"/>
        </w:tabs>
        <w:ind w:left="1800"/>
        <w:rPr>
          <w:rFonts w:ascii="Cambria" w:eastAsia="Cambria" w:hAnsi="Cambria" w:cs="Cambria"/>
          <w:color w:val="000000"/>
        </w:rPr>
      </w:pPr>
      <w:r>
        <w:rPr>
          <w:rFonts w:ascii="Cambria" w:eastAsia="Cambria" w:hAnsi="Cambria" w:cs="Cambria"/>
          <w:color w:val="000000"/>
        </w:rPr>
        <w:t xml:space="preserve">have theoretical perspectives and academic and applied experiences appropriate to the program’s aims; </w:t>
      </w:r>
    </w:p>
    <w:p w14:paraId="0000073E" w14:textId="77777777" w:rsidR="00CD3527" w:rsidRDefault="007F4AED">
      <w:pPr>
        <w:numPr>
          <w:ilvl w:val="4"/>
          <w:numId w:val="10"/>
        </w:numPr>
        <w:pBdr>
          <w:top w:val="nil"/>
          <w:left w:val="nil"/>
          <w:bottom w:val="nil"/>
          <w:right w:val="nil"/>
          <w:between w:val="nil"/>
        </w:pBdr>
        <w:tabs>
          <w:tab w:val="left" w:pos="3060"/>
        </w:tabs>
        <w:ind w:left="1800"/>
        <w:rPr>
          <w:rFonts w:ascii="Cambria" w:eastAsia="Cambria" w:hAnsi="Cambria" w:cs="Cambria"/>
          <w:color w:val="000000"/>
        </w:rPr>
      </w:pPr>
      <w:r>
        <w:rPr>
          <w:rFonts w:ascii="Cambria" w:eastAsia="Cambria" w:hAnsi="Cambria" w:cs="Cambria"/>
          <w:color w:val="000000"/>
        </w:rPr>
        <w:t xml:space="preserve">demonstrate substantial competence and have recognized credentials in those areas that are at the core of the program's aims; </w:t>
      </w:r>
    </w:p>
    <w:p w14:paraId="0000073F" w14:textId="77777777" w:rsidR="00CD3527" w:rsidRDefault="007F4AED">
      <w:pPr>
        <w:numPr>
          <w:ilvl w:val="4"/>
          <w:numId w:val="10"/>
        </w:numPr>
        <w:pBdr>
          <w:top w:val="nil"/>
          <w:left w:val="nil"/>
          <w:bottom w:val="nil"/>
          <w:right w:val="nil"/>
          <w:between w:val="nil"/>
        </w:pBdr>
        <w:tabs>
          <w:tab w:val="left" w:pos="3060"/>
        </w:tabs>
        <w:ind w:left="1800"/>
        <w:rPr>
          <w:rFonts w:ascii="Cambria" w:eastAsia="Cambria" w:hAnsi="Cambria" w:cs="Cambria"/>
          <w:color w:val="000000"/>
        </w:rPr>
      </w:pPr>
      <w:r>
        <w:rPr>
          <w:rFonts w:ascii="Cambria" w:eastAsia="Cambria" w:hAnsi="Cambria" w:cs="Cambria"/>
          <w:color w:val="000000"/>
        </w:rPr>
        <w:t>are available to function as appropriate role models for students in their learning and socialization into the discipline and profession.</w:t>
      </w:r>
    </w:p>
    <w:p w14:paraId="00000740" w14:textId="77777777" w:rsidR="00CD3527" w:rsidRDefault="007F4AED">
      <w:pPr>
        <w:numPr>
          <w:ilvl w:val="3"/>
          <w:numId w:val="10"/>
        </w:numPr>
        <w:pBdr>
          <w:top w:val="nil"/>
          <w:left w:val="nil"/>
          <w:bottom w:val="nil"/>
          <w:right w:val="nil"/>
          <w:between w:val="nil"/>
        </w:pBdr>
        <w:tabs>
          <w:tab w:val="left" w:pos="3060"/>
        </w:tabs>
        <w:ind w:left="1440"/>
        <w:rPr>
          <w:rFonts w:ascii="Cambria" w:eastAsia="Cambria" w:hAnsi="Cambria" w:cs="Cambria"/>
          <w:b/>
          <w:color w:val="000000"/>
        </w:rPr>
      </w:pPr>
      <w:r>
        <w:rPr>
          <w:rFonts w:ascii="Cambria" w:eastAsia="Cambria" w:hAnsi="Cambria" w:cs="Cambria"/>
          <w:b/>
          <w:color w:val="000000"/>
        </w:rPr>
        <w:lastRenderedPageBreak/>
        <w:t xml:space="preserve">Additional Core Faculty Professional Characteristics  </w:t>
      </w:r>
    </w:p>
    <w:p w14:paraId="00000741" w14:textId="77777777" w:rsidR="00CD3527" w:rsidRDefault="007F4AED">
      <w:pPr>
        <w:numPr>
          <w:ilvl w:val="4"/>
          <w:numId w:val="10"/>
        </w:numPr>
        <w:pBdr>
          <w:top w:val="nil"/>
          <w:left w:val="nil"/>
          <w:bottom w:val="nil"/>
          <w:right w:val="nil"/>
          <w:between w:val="nil"/>
        </w:pBdr>
        <w:tabs>
          <w:tab w:val="left" w:pos="3060"/>
        </w:tabs>
        <w:ind w:left="1800"/>
        <w:rPr>
          <w:rFonts w:ascii="Cambria" w:eastAsia="Cambria" w:hAnsi="Cambria" w:cs="Cambria"/>
          <w:color w:val="000000"/>
        </w:rPr>
      </w:pPr>
      <w:r>
        <w:rPr>
          <w:rFonts w:ascii="Cambria" w:eastAsia="Cambria" w:hAnsi="Cambria" w:cs="Cambria"/>
          <w:color w:val="000000"/>
        </w:rPr>
        <w:t xml:space="preserve">Core faculty must be composed of individuals whose education, training, and/or experience are consistent with their roles in the program in light of the substantive area in which the program seeks accreditation. </w:t>
      </w:r>
    </w:p>
    <w:p w14:paraId="00000742" w14:textId="77777777" w:rsidR="00CD3527" w:rsidRDefault="007F4AED">
      <w:pPr>
        <w:numPr>
          <w:ilvl w:val="4"/>
          <w:numId w:val="10"/>
        </w:numPr>
        <w:pBdr>
          <w:top w:val="nil"/>
          <w:left w:val="nil"/>
          <w:bottom w:val="nil"/>
          <w:right w:val="nil"/>
          <w:between w:val="nil"/>
        </w:pBdr>
        <w:tabs>
          <w:tab w:val="left" w:pos="3060"/>
        </w:tabs>
        <w:ind w:left="1800"/>
        <w:rPr>
          <w:rFonts w:ascii="Cambria" w:eastAsia="Cambria" w:hAnsi="Cambria" w:cs="Cambria"/>
          <w:color w:val="000000"/>
        </w:rPr>
      </w:pPr>
      <w:r>
        <w:rPr>
          <w:rFonts w:ascii="Cambria" w:eastAsia="Cambria" w:hAnsi="Cambria" w:cs="Cambria"/>
          <w:color w:val="000000"/>
        </w:rPr>
        <w:t xml:space="preserve">Core faculty must be composed of individuals whose primary professional employment (50% or more) is at the institution in which the program is housed, and to whom the institution has demonstrated a multiyear commitment. At least 50% of core faculty professional time must be devoted to program‐related activities. </w:t>
      </w:r>
    </w:p>
    <w:p w14:paraId="00000743" w14:textId="77777777" w:rsidR="00CD3527" w:rsidRDefault="007F4AED">
      <w:pPr>
        <w:numPr>
          <w:ilvl w:val="4"/>
          <w:numId w:val="10"/>
        </w:numPr>
        <w:pBdr>
          <w:top w:val="nil"/>
          <w:left w:val="nil"/>
          <w:bottom w:val="nil"/>
          <w:right w:val="nil"/>
          <w:between w:val="nil"/>
        </w:pBdr>
        <w:tabs>
          <w:tab w:val="left" w:pos="3060"/>
        </w:tabs>
        <w:ind w:left="1800"/>
        <w:rPr>
          <w:rFonts w:ascii="Cambria" w:eastAsia="Cambria" w:hAnsi="Cambria" w:cs="Cambria"/>
          <w:color w:val="000000"/>
        </w:rPr>
      </w:pPr>
      <w:r>
        <w:rPr>
          <w:rFonts w:ascii="Cambria" w:eastAsia="Cambria" w:hAnsi="Cambria" w:cs="Cambria"/>
          <w:color w:val="000000"/>
        </w:rPr>
        <w:t xml:space="preserve">Core faculty must be identified with the program and centrally involved in program development, decision making, and student training. “Identified with the program” means that each faculty member is included in public and departmental documents as such, views himself or herself as core faculty, and is seen as core faculty by the students.   </w:t>
      </w:r>
    </w:p>
    <w:p w14:paraId="00000744" w14:textId="77777777" w:rsidR="00CD3527" w:rsidRDefault="007F4AED">
      <w:pPr>
        <w:numPr>
          <w:ilvl w:val="4"/>
          <w:numId w:val="10"/>
        </w:numPr>
        <w:pBdr>
          <w:top w:val="nil"/>
          <w:left w:val="nil"/>
          <w:bottom w:val="nil"/>
          <w:right w:val="nil"/>
          <w:between w:val="nil"/>
        </w:pBdr>
        <w:tabs>
          <w:tab w:val="left" w:pos="3060"/>
        </w:tabs>
        <w:ind w:left="1800"/>
        <w:rPr>
          <w:rFonts w:ascii="Cambria" w:eastAsia="Cambria" w:hAnsi="Cambria" w:cs="Cambria"/>
          <w:color w:val="000000"/>
        </w:rPr>
      </w:pPr>
      <w:r>
        <w:rPr>
          <w:rFonts w:ascii="Cambria" w:eastAsia="Cambria" w:hAnsi="Cambria" w:cs="Cambria"/>
          <w:color w:val="000000"/>
        </w:rPr>
        <w:t xml:space="preserve">Core faculty activities directly related to the doctoral program include program‐ related teaching, research, scholarship, and/or professional activities; supervising students’ research, students’ dissertations, and students’ teaching activities;  mentoring students’ professional development; providing clinical supervision; monitoring student outcomes; teaching in a master’s degree program that is an integral part of the doctoral program; and developing, evaluating, and maintaining the program. </w:t>
      </w:r>
    </w:p>
    <w:p w14:paraId="00000745" w14:textId="77777777" w:rsidR="00CD3527" w:rsidRDefault="007F4AED">
      <w:pPr>
        <w:numPr>
          <w:ilvl w:val="4"/>
          <w:numId w:val="10"/>
        </w:numPr>
        <w:pBdr>
          <w:top w:val="nil"/>
          <w:left w:val="nil"/>
          <w:bottom w:val="nil"/>
          <w:right w:val="nil"/>
          <w:between w:val="nil"/>
        </w:pBdr>
        <w:tabs>
          <w:tab w:val="left" w:pos="3060"/>
        </w:tabs>
        <w:ind w:left="1800"/>
        <w:rPr>
          <w:rFonts w:ascii="Cambria" w:eastAsia="Cambria" w:hAnsi="Cambria" w:cs="Cambria"/>
          <w:color w:val="000000"/>
        </w:rPr>
      </w:pPr>
      <w:r>
        <w:rPr>
          <w:rFonts w:ascii="Cambria" w:eastAsia="Cambria" w:hAnsi="Cambria" w:cs="Cambria"/>
          <w:color w:val="000000"/>
        </w:rPr>
        <w:t>Core faculty activities not directly related to the doctoral program and not seen as aspects of the core faculty role include undergraduate teaching in general and related activities; teaching and related activities in terminal master’s or other graduate programs; and clinical work or independent practice not directly associated with training, such as at a counseling center.</w:t>
      </w:r>
    </w:p>
    <w:p w14:paraId="00000746" w14:textId="77777777" w:rsidR="00CD3527" w:rsidRDefault="007F4AED">
      <w:pPr>
        <w:numPr>
          <w:ilvl w:val="3"/>
          <w:numId w:val="10"/>
        </w:numPr>
        <w:pBdr>
          <w:top w:val="nil"/>
          <w:left w:val="nil"/>
          <w:bottom w:val="nil"/>
          <w:right w:val="nil"/>
          <w:between w:val="nil"/>
        </w:pBdr>
        <w:tabs>
          <w:tab w:val="left" w:pos="3060"/>
        </w:tabs>
        <w:ind w:left="1440"/>
        <w:rPr>
          <w:rFonts w:ascii="Cambria" w:eastAsia="Cambria" w:hAnsi="Cambria" w:cs="Cambria"/>
          <w:b/>
          <w:color w:val="000000"/>
        </w:rPr>
      </w:pPr>
      <w:r>
        <w:rPr>
          <w:rFonts w:ascii="Cambria" w:eastAsia="Cambria" w:hAnsi="Cambria" w:cs="Cambria"/>
          <w:b/>
          <w:color w:val="000000"/>
        </w:rPr>
        <w:t xml:space="preserve">Associated and Adjunct Faculty. </w:t>
      </w:r>
      <w:r>
        <w:rPr>
          <w:rFonts w:ascii="Cambria" w:eastAsia="Cambria" w:hAnsi="Cambria" w:cs="Cambria"/>
          <w:color w:val="000000"/>
        </w:rPr>
        <w:t>In addition to core faculty, programs may also have associated program faculty, contributing faculty, and adjunct (visiting, auxiliary, or “other”) faculty. Associated program faculty do not meet the criteria for core faculty. They are not centrally involved in program development and decision making, but they still make a substantial contribution to the program and take on some of the tasks often associated with core faculty. Adjunct faculty are hired on an ad hoc basis to teach one or two courses, provide supervision, etc.</w:t>
      </w:r>
    </w:p>
    <w:p w14:paraId="00000747" w14:textId="77777777" w:rsidR="00CD3527" w:rsidRDefault="007F4AED">
      <w:pPr>
        <w:numPr>
          <w:ilvl w:val="3"/>
          <w:numId w:val="10"/>
        </w:numPr>
        <w:pBdr>
          <w:top w:val="nil"/>
          <w:left w:val="nil"/>
          <w:bottom w:val="nil"/>
          <w:right w:val="nil"/>
          <w:between w:val="nil"/>
        </w:pBdr>
        <w:tabs>
          <w:tab w:val="left" w:pos="3060"/>
        </w:tabs>
        <w:ind w:left="1440"/>
        <w:rPr>
          <w:rFonts w:ascii="Cambria" w:eastAsia="Cambria" w:hAnsi="Cambria" w:cs="Cambria"/>
          <w:b/>
          <w:color w:val="000000"/>
        </w:rPr>
      </w:pPr>
      <w:r>
        <w:rPr>
          <w:rFonts w:ascii="Cambria" w:eastAsia="Cambria" w:hAnsi="Cambria" w:cs="Cambria"/>
          <w:b/>
          <w:color w:val="000000"/>
        </w:rPr>
        <w:t xml:space="preserve">Faculty Sufficiency </w:t>
      </w:r>
    </w:p>
    <w:p w14:paraId="00000748" w14:textId="77777777" w:rsidR="00CD3527" w:rsidRDefault="007F4AED">
      <w:pPr>
        <w:numPr>
          <w:ilvl w:val="4"/>
          <w:numId w:val="10"/>
        </w:numPr>
        <w:pBdr>
          <w:top w:val="nil"/>
          <w:left w:val="nil"/>
          <w:bottom w:val="nil"/>
          <w:right w:val="nil"/>
          <w:between w:val="nil"/>
        </w:pBdr>
        <w:tabs>
          <w:tab w:val="left" w:pos="3060"/>
          <w:tab w:val="left" w:pos="3510"/>
        </w:tabs>
        <w:ind w:left="1800"/>
        <w:rPr>
          <w:rFonts w:ascii="Cambria" w:eastAsia="Cambria" w:hAnsi="Cambria" w:cs="Cambria"/>
          <w:color w:val="000000"/>
        </w:rPr>
      </w:pPr>
      <w:r>
        <w:rPr>
          <w:rFonts w:ascii="Cambria" w:eastAsia="Cambria" w:hAnsi="Cambria" w:cs="Cambria"/>
          <w:color w:val="000000"/>
        </w:rPr>
        <w:t xml:space="preserve">Consistent with the program’s model, the program faculty, and in particular the core faculty, needs to be large enough to advise and supervise students’ research and practice, conduct research and/or engage in scholarly activity, attend to administrative duties, serve on institutional or program committees, provide a sense of program continuity, provide appropriate class sizes and sufficient course </w:t>
      </w:r>
      <w:r>
        <w:rPr>
          <w:rFonts w:ascii="Cambria" w:eastAsia="Cambria" w:hAnsi="Cambria" w:cs="Cambria"/>
          <w:color w:val="000000"/>
        </w:rPr>
        <w:lastRenderedPageBreak/>
        <w:t xml:space="preserve">offerings to meet program aims, and monitor and evaluate practicum facilities, internship settings, and student progress.  </w:t>
      </w:r>
    </w:p>
    <w:p w14:paraId="00000749" w14:textId="77777777" w:rsidR="00CD3527" w:rsidRDefault="007F4AED">
      <w:pPr>
        <w:numPr>
          <w:ilvl w:val="4"/>
          <w:numId w:val="10"/>
        </w:numPr>
        <w:pBdr>
          <w:top w:val="nil"/>
          <w:left w:val="nil"/>
          <w:bottom w:val="nil"/>
          <w:right w:val="nil"/>
          <w:between w:val="nil"/>
        </w:pBdr>
        <w:tabs>
          <w:tab w:val="left" w:pos="3060"/>
          <w:tab w:val="left" w:pos="3510"/>
        </w:tabs>
        <w:ind w:left="1800"/>
        <w:rPr>
          <w:rFonts w:ascii="Cambria" w:eastAsia="Cambria" w:hAnsi="Cambria" w:cs="Cambria"/>
          <w:color w:val="000000"/>
        </w:rPr>
      </w:pPr>
      <w:r>
        <w:rPr>
          <w:rFonts w:ascii="Cambria" w:eastAsia="Cambria" w:hAnsi="Cambria" w:cs="Cambria"/>
          <w:color w:val="000000"/>
        </w:rPr>
        <w:t xml:space="preserve">The program faculty, and in particular the core faculty, needs to be large enough to support student engagement and success within the program, from admissions, to matriculation, to timely completion of program requirements and graduation. </w:t>
      </w:r>
    </w:p>
    <w:p w14:paraId="0000074A" w14:textId="77777777" w:rsidR="00CD3527" w:rsidRDefault="007F4AED">
      <w:pPr>
        <w:numPr>
          <w:ilvl w:val="4"/>
          <w:numId w:val="10"/>
        </w:numPr>
        <w:pBdr>
          <w:top w:val="nil"/>
          <w:left w:val="nil"/>
          <w:bottom w:val="nil"/>
          <w:right w:val="nil"/>
          <w:between w:val="nil"/>
        </w:pBdr>
        <w:tabs>
          <w:tab w:val="left" w:pos="3060"/>
          <w:tab w:val="left" w:pos="3510"/>
        </w:tabs>
        <w:ind w:left="1800"/>
        <w:rPr>
          <w:rFonts w:ascii="Cambria" w:eastAsia="Cambria" w:hAnsi="Cambria" w:cs="Cambria"/>
          <w:color w:val="000000"/>
        </w:rPr>
      </w:pPr>
      <w:r>
        <w:rPr>
          <w:rFonts w:ascii="Cambria" w:eastAsia="Cambria" w:hAnsi="Cambria" w:cs="Cambria"/>
          <w:color w:val="000000"/>
        </w:rPr>
        <w:t xml:space="preserve">At least one member of the core faculty needs to hold professional licensure as a psychologist to practice in the jurisdiction in which the program is located. </w:t>
      </w:r>
    </w:p>
    <w:p w14:paraId="0000074B" w14:textId="77777777" w:rsidR="00CD3527" w:rsidRDefault="007F4AED">
      <w:pPr>
        <w:numPr>
          <w:ilvl w:val="4"/>
          <w:numId w:val="10"/>
        </w:numPr>
        <w:pBdr>
          <w:top w:val="nil"/>
          <w:left w:val="nil"/>
          <w:bottom w:val="nil"/>
          <w:right w:val="nil"/>
          <w:between w:val="nil"/>
        </w:pBdr>
        <w:tabs>
          <w:tab w:val="left" w:pos="3060"/>
          <w:tab w:val="left" w:pos="3510"/>
        </w:tabs>
        <w:ind w:left="1800"/>
        <w:rPr>
          <w:rFonts w:ascii="Cambria" w:eastAsia="Cambria" w:hAnsi="Cambria" w:cs="Cambria"/>
          <w:color w:val="000000"/>
        </w:rPr>
      </w:pPr>
      <w:r>
        <w:rPr>
          <w:rFonts w:ascii="Cambria" w:eastAsia="Cambria" w:hAnsi="Cambria" w:cs="Cambria"/>
          <w:color w:val="000000"/>
        </w:rPr>
        <w:t>The program faculty must themselves be engaged in activities demonstrating the skills they are endeavoring to teach their students, such as delivering psychological services, conducting psychological research, publishing scholarly work, presenting professional work at conferences/meetings, teaching classes/workshops, and supervising the professional work of others.</w:t>
      </w:r>
    </w:p>
    <w:p w14:paraId="0000074C" w14:textId="77777777" w:rsidR="00CD3527" w:rsidRDefault="007F4AED">
      <w:pPr>
        <w:numPr>
          <w:ilvl w:val="3"/>
          <w:numId w:val="10"/>
        </w:numPr>
        <w:pBdr>
          <w:top w:val="nil"/>
          <w:left w:val="nil"/>
          <w:bottom w:val="nil"/>
          <w:right w:val="nil"/>
          <w:between w:val="nil"/>
        </w:pBdr>
        <w:tabs>
          <w:tab w:val="left" w:pos="1980"/>
          <w:tab w:val="left" w:pos="3060"/>
          <w:tab w:val="left" w:pos="3510"/>
        </w:tabs>
        <w:ind w:left="1440"/>
        <w:rPr>
          <w:rFonts w:ascii="Cambria" w:eastAsia="Cambria" w:hAnsi="Cambria" w:cs="Cambria"/>
          <w:b/>
          <w:color w:val="000000"/>
        </w:rPr>
      </w:pPr>
      <w:r>
        <w:rPr>
          <w:rFonts w:ascii="Cambria" w:eastAsia="Cambria" w:hAnsi="Cambria" w:cs="Cambria"/>
          <w:b/>
          <w:color w:val="000000"/>
        </w:rPr>
        <w:t>Cultural and Individual Differences and Diversity</w:t>
      </w:r>
    </w:p>
    <w:p w14:paraId="0000074D" w14:textId="77777777" w:rsidR="00CD3527" w:rsidRDefault="007F4AED">
      <w:pPr>
        <w:numPr>
          <w:ilvl w:val="4"/>
          <w:numId w:val="10"/>
        </w:numPr>
        <w:pBdr>
          <w:top w:val="nil"/>
          <w:left w:val="nil"/>
          <w:bottom w:val="nil"/>
          <w:right w:val="nil"/>
          <w:between w:val="nil"/>
        </w:pBdr>
        <w:tabs>
          <w:tab w:val="left" w:pos="1980"/>
          <w:tab w:val="left" w:pos="3060"/>
          <w:tab w:val="left" w:pos="3510"/>
          <w:tab w:val="left" w:pos="3780"/>
        </w:tabs>
        <w:ind w:left="1800"/>
        <w:rPr>
          <w:rFonts w:ascii="Cambria" w:eastAsia="Cambria" w:hAnsi="Cambria" w:cs="Cambria"/>
          <w:color w:val="000000"/>
        </w:rPr>
      </w:pPr>
      <w:r>
        <w:rPr>
          <w:rFonts w:ascii="Cambria" w:eastAsia="Cambria" w:hAnsi="Cambria" w:cs="Cambria"/>
          <w:b/>
          <w:color w:val="000000"/>
        </w:rPr>
        <w:t>Recruitment of Faculty who are Diverse.</w:t>
      </w:r>
      <w:r>
        <w:rPr>
          <w:rFonts w:ascii="Cambria" w:eastAsia="Cambria" w:hAnsi="Cambria" w:cs="Cambria"/>
          <w:color w:val="000000"/>
        </w:rPr>
        <w:t xml:space="preserve"> Each accredited program is responsible for making systematic, coherent, and long‐term efforts to attract (i.e., recruit) and retain faculty from differing backgrounds. The program has developed a systematic, long‐term plan to attract faculty from a range of diverse backgrounds and implemented it when possible (i.e., when there have been faculty openings). The program may participate in institutional‐level initiatives aimed toward achieving diversity, but these alone are not sufficient. The program should document concrete actions it has taken to achieve diversity, addressing the areas of diversity recruitment in which it excels as well as the areas in which it is working to improve. It should demonstrate that it examines the effectiveness of its efforts to attract faculty who are diverse and document any steps needed to revise/enhance its strategies.</w:t>
      </w:r>
    </w:p>
    <w:p w14:paraId="0000074E" w14:textId="77777777" w:rsidR="00CD3527" w:rsidRDefault="007F4AED">
      <w:pPr>
        <w:numPr>
          <w:ilvl w:val="4"/>
          <w:numId w:val="10"/>
        </w:numPr>
        <w:pBdr>
          <w:top w:val="nil"/>
          <w:left w:val="nil"/>
          <w:bottom w:val="nil"/>
          <w:right w:val="nil"/>
          <w:between w:val="nil"/>
        </w:pBdr>
        <w:tabs>
          <w:tab w:val="left" w:pos="1980"/>
          <w:tab w:val="left" w:pos="3060"/>
          <w:tab w:val="left" w:pos="3510"/>
          <w:tab w:val="left" w:pos="3780"/>
        </w:tabs>
        <w:ind w:left="1800"/>
        <w:rPr>
          <w:rFonts w:ascii="Cambria" w:eastAsia="Cambria" w:hAnsi="Cambria" w:cs="Cambria"/>
          <w:color w:val="000000"/>
        </w:rPr>
      </w:pPr>
      <w:r>
        <w:rPr>
          <w:rFonts w:ascii="Cambria" w:eastAsia="Cambria" w:hAnsi="Cambria" w:cs="Cambria"/>
          <w:b/>
          <w:color w:val="000000"/>
        </w:rPr>
        <w:t>Retention of Faculty who are Diverse.</w:t>
      </w:r>
      <w:r>
        <w:rPr>
          <w:rFonts w:ascii="Cambria" w:eastAsia="Cambria" w:hAnsi="Cambria" w:cs="Cambria"/>
          <w:color w:val="000000"/>
        </w:rPr>
        <w:t xml:space="preserve"> The program has program specific activities, approaches, and initiatives it implements to maintain diversity among its faculty. A program may include institutional‐level initiatives aimed toward retaining faculty who are diverse, but these alone are not sufficient. The program demonstrates that it examines the effectiveness of its efforts to maintain faculty who are diverse and documents any steps needed to revise/enhance its strategies.</w:t>
      </w:r>
    </w:p>
    <w:p w14:paraId="0000074F" w14:textId="77777777" w:rsidR="00CD3527" w:rsidRDefault="00CD3527">
      <w:pPr>
        <w:pBdr>
          <w:top w:val="nil"/>
          <w:left w:val="nil"/>
          <w:bottom w:val="nil"/>
          <w:right w:val="nil"/>
          <w:between w:val="nil"/>
        </w:pBdr>
        <w:tabs>
          <w:tab w:val="left" w:pos="3060"/>
        </w:tabs>
        <w:rPr>
          <w:rFonts w:ascii="Cambria" w:eastAsia="Cambria" w:hAnsi="Cambria" w:cs="Cambria"/>
          <w:color w:val="000000"/>
        </w:rPr>
      </w:pPr>
    </w:p>
    <w:p w14:paraId="00000750" w14:textId="77777777" w:rsidR="00CD3527" w:rsidRDefault="00CD3527">
      <w:pPr>
        <w:pBdr>
          <w:top w:val="nil"/>
          <w:left w:val="nil"/>
          <w:bottom w:val="nil"/>
          <w:right w:val="nil"/>
          <w:between w:val="nil"/>
        </w:pBdr>
        <w:tabs>
          <w:tab w:val="left" w:pos="3060"/>
        </w:tabs>
        <w:rPr>
          <w:rFonts w:ascii="Cambria" w:eastAsia="Cambria" w:hAnsi="Cambria" w:cs="Cambria"/>
          <w:color w:val="000000"/>
        </w:rPr>
      </w:pPr>
    </w:p>
    <w:p w14:paraId="00000751" w14:textId="77777777" w:rsidR="00CD3527" w:rsidRDefault="00CD3527">
      <w:pPr>
        <w:pBdr>
          <w:top w:val="nil"/>
          <w:left w:val="nil"/>
          <w:bottom w:val="nil"/>
          <w:right w:val="nil"/>
          <w:between w:val="nil"/>
        </w:pBdr>
        <w:tabs>
          <w:tab w:val="left" w:pos="3060"/>
        </w:tabs>
        <w:jc w:val="center"/>
        <w:rPr>
          <w:rFonts w:ascii="Cambria" w:eastAsia="Cambria" w:hAnsi="Cambria" w:cs="Cambria"/>
          <w:b/>
          <w:color w:val="000000"/>
          <w:sz w:val="28"/>
          <w:szCs w:val="28"/>
        </w:rPr>
      </w:pPr>
    </w:p>
    <w:p w14:paraId="00000752" w14:textId="77777777" w:rsidR="00CD3527" w:rsidRDefault="00CD3527">
      <w:pPr>
        <w:pBdr>
          <w:top w:val="nil"/>
          <w:left w:val="nil"/>
          <w:bottom w:val="nil"/>
          <w:right w:val="nil"/>
          <w:between w:val="nil"/>
        </w:pBdr>
        <w:tabs>
          <w:tab w:val="left" w:pos="3060"/>
        </w:tabs>
        <w:jc w:val="center"/>
        <w:rPr>
          <w:rFonts w:ascii="Cambria" w:eastAsia="Cambria" w:hAnsi="Cambria" w:cs="Cambria"/>
          <w:b/>
          <w:color w:val="000000"/>
          <w:sz w:val="28"/>
          <w:szCs w:val="28"/>
        </w:rPr>
      </w:pPr>
    </w:p>
    <w:p w14:paraId="00000753" w14:textId="77777777" w:rsidR="00CD3527" w:rsidRDefault="00CD3527">
      <w:pPr>
        <w:pBdr>
          <w:top w:val="nil"/>
          <w:left w:val="nil"/>
          <w:bottom w:val="nil"/>
          <w:right w:val="nil"/>
          <w:between w:val="nil"/>
        </w:pBdr>
        <w:tabs>
          <w:tab w:val="left" w:pos="3060"/>
        </w:tabs>
        <w:jc w:val="center"/>
        <w:rPr>
          <w:rFonts w:ascii="Cambria" w:eastAsia="Cambria" w:hAnsi="Cambria" w:cs="Cambria"/>
          <w:b/>
          <w:color w:val="000000"/>
          <w:sz w:val="28"/>
          <w:szCs w:val="28"/>
        </w:rPr>
      </w:pPr>
    </w:p>
    <w:p w14:paraId="00000754" w14:textId="77777777" w:rsidR="00CD3527" w:rsidRDefault="00CD3527">
      <w:pPr>
        <w:pBdr>
          <w:top w:val="nil"/>
          <w:left w:val="nil"/>
          <w:bottom w:val="nil"/>
          <w:right w:val="nil"/>
          <w:between w:val="nil"/>
        </w:pBdr>
        <w:tabs>
          <w:tab w:val="left" w:pos="3060"/>
        </w:tabs>
        <w:jc w:val="center"/>
        <w:rPr>
          <w:rFonts w:ascii="Cambria" w:eastAsia="Cambria" w:hAnsi="Cambria" w:cs="Cambria"/>
          <w:b/>
          <w:color w:val="000000"/>
          <w:sz w:val="28"/>
          <w:szCs w:val="28"/>
        </w:rPr>
      </w:pPr>
    </w:p>
    <w:p w14:paraId="00000755" w14:textId="77777777" w:rsidR="00CD3527" w:rsidRDefault="00CD3527">
      <w:pPr>
        <w:pBdr>
          <w:top w:val="nil"/>
          <w:left w:val="nil"/>
          <w:bottom w:val="nil"/>
          <w:right w:val="nil"/>
          <w:between w:val="nil"/>
        </w:pBdr>
        <w:tabs>
          <w:tab w:val="left" w:pos="3060"/>
        </w:tabs>
        <w:jc w:val="center"/>
        <w:rPr>
          <w:rFonts w:ascii="Cambria" w:eastAsia="Cambria" w:hAnsi="Cambria" w:cs="Cambria"/>
          <w:b/>
          <w:color w:val="000000"/>
          <w:sz w:val="28"/>
          <w:szCs w:val="28"/>
        </w:rPr>
      </w:pPr>
    </w:p>
    <w:p w14:paraId="00000756" w14:textId="77777777" w:rsidR="00CD3527" w:rsidRDefault="007F4AED">
      <w:pPr>
        <w:pBdr>
          <w:top w:val="nil"/>
          <w:left w:val="nil"/>
          <w:bottom w:val="nil"/>
          <w:right w:val="nil"/>
          <w:between w:val="nil"/>
        </w:pBdr>
        <w:tabs>
          <w:tab w:val="left" w:pos="3060"/>
        </w:tabs>
        <w:jc w:val="center"/>
        <w:rPr>
          <w:rFonts w:ascii="Cambria" w:eastAsia="Cambria" w:hAnsi="Cambria" w:cs="Cambria"/>
          <w:b/>
          <w:color w:val="000000"/>
          <w:sz w:val="28"/>
          <w:szCs w:val="28"/>
        </w:rPr>
      </w:pPr>
      <w:r>
        <w:rPr>
          <w:rFonts w:ascii="Cambria" w:eastAsia="Cambria" w:hAnsi="Cambria" w:cs="Cambria"/>
          <w:b/>
          <w:color w:val="000000"/>
          <w:sz w:val="28"/>
          <w:szCs w:val="28"/>
        </w:rPr>
        <w:lastRenderedPageBreak/>
        <w:t>V. Communication Practices</w:t>
      </w:r>
    </w:p>
    <w:p w14:paraId="00000757" w14:textId="77777777" w:rsidR="00CD3527" w:rsidRDefault="00CD3527">
      <w:pPr>
        <w:pBdr>
          <w:top w:val="nil"/>
          <w:left w:val="nil"/>
          <w:bottom w:val="nil"/>
          <w:right w:val="nil"/>
          <w:between w:val="nil"/>
        </w:pBdr>
        <w:tabs>
          <w:tab w:val="left" w:pos="3060"/>
        </w:tabs>
        <w:rPr>
          <w:rFonts w:ascii="Cambria" w:eastAsia="Cambria" w:hAnsi="Cambria" w:cs="Cambria"/>
          <w:color w:val="000000"/>
        </w:rPr>
      </w:pPr>
    </w:p>
    <w:p w14:paraId="00000758" w14:textId="77777777" w:rsidR="00CD3527" w:rsidRDefault="007F4AED">
      <w:pPr>
        <w:pBdr>
          <w:top w:val="nil"/>
          <w:left w:val="nil"/>
          <w:bottom w:val="nil"/>
          <w:right w:val="nil"/>
          <w:between w:val="nil"/>
        </w:pBdr>
        <w:tabs>
          <w:tab w:val="left" w:pos="3060"/>
        </w:tabs>
        <w:rPr>
          <w:rFonts w:ascii="Cambria" w:eastAsia="Cambria" w:hAnsi="Cambria" w:cs="Cambria"/>
          <w:b/>
          <w:color w:val="000000"/>
        </w:rPr>
      </w:pPr>
      <w:r>
        <w:rPr>
          <w:rFonts w:ascii="Cambria" w:eastAsia="Cambria" w:hAnsi="Cambria" w:cs="Cambria"/>
          <w:b/>
          <w:color w:val="000000"/>
        </w:rPr>
        <w:t>A. Public Disclosure</w:t>
      </w:r>
    </w:p>
    <w:p w14:paraId="00000759" w14:textId="77777777" w:rsidR="00CD3527" w:rsidRDefault="007F4AED">
      <w:pPr>
        <w:numPr>
          <w:ilvl w:val="3"/>
          <w:numId w:val="60"/>
        </w:numPr>
        <w:pBdr>
          <w:top w:val="nil"/>
          <w:left w:val="nil"/>
          <w:bottom w:val="nil"/>
          <w:right w:val="nil"/>
          <w:between w:val="nil"/>
        </w:pBdr>
        <w:tabs>
          <w:tab w:val="left" w:pos="3060"/>
        </w:tabs>
        <w:ind w:left="1440"/>
        <w:rPr>
          <w:rFonts w:ascii="Cambria" w:eastAsia="Cambria" w:hAnsi="Cambria" w:cs="Cambria"/>
          <w:b/>
          <w:color w:val="000000"/>
        </w:rPr>
      </w:pPr>
      <w:r>
        <w:rPr>
          <w:rFonts w:ascii="Cambria" w:eastAsia="Cambria" w:hAnsi="Cambria" w:cs="Cambria"/>
          <w:b/>
          <w:color w:val="000000"/>
        </w:rPr>
        <w:t xml:space="preserve">General Disclosures </w:t>
      </w:r>
    </w:p>
    <w:p w14:paraId="0000075A" w14:textId="77777777" w:rsidR="00CD3527" w:rsidRDefault="007F4AED">
      <w:pPr>
        <w:numPr>
          <w:ilvl w:val="4"/>
          <w:numId w:val="60"/>
        </w:numPr>
        <w:pBdr>
          <w:top w:val="nil"/>
          <w:left w:val="nil"/>
          <w:bottom w:val="nil"/>
          <w:right w:val="nil"/>
          <w:between w:val="nil"/>
        </w:pBdr>
        <w:tabs>
          <w:tab w:val="left" w:pos="3060"/>
        </w:tabs>
        <w:ind w:left="1800"/>
        <w:rPr>
          <w:rFonts w:ascii="Cambria" w:eastAsia="Cambria" w:hAnsi="Cambria" w:cs="Cambria"/>
          <w:color w:val="000000"/>
        </w:rPr>
      </w:pPr>
      <w:r>
        <w:rPr>
          <w:rFonts w:ascii="Cambria" w:eastAsia="Cambria" w:hAnsi="Cambria" w:cs="Cambria"/>
          <w:color w:val="000000"/>
        </w:rPr>
        <w:t xml:space="preserve">The program demonstrates its commitment to public disclosure by providing clearly presented written materials and other communications that appropriately represent it to all relevant publics. At a minimum, this includes general program information pertaining to its aims, required curriculum sequence, and the expected outcomes in terms of its graduates’ careers, as well as data on achievement of those expected and actual outcomes.   </w:t>
      </w:r>
    </w:p>
    <w:p w14:paraId="0000075B" w14:textId="77777777" w:rsidR="00CD3527" w:rsidRDefault="007F4AED">
      <w:pPr>
        <w:numPr>
          <w:ilvl w:val="4"/>
          <w:numId w:val="60"/>
        </w:numPr>
        <w:pBdr>
          <w:top w:val="nil"/>
          <w:left w:val="nil"/>
          <w:bottom w:val="nil"/>
          <w:right w:val="nil"/>
          <w:between w:val="nil"/>
        </w:pBdr>
        <w:tabs>
          <w:tab w:val="left" w:pos="3060"/>
        </w:tabs>
        <w:ind w:left="1800"/>
        <w:rPr>
          <w:rFonts w:ascii="Cambria" w:eastAsia="Cambria" w:hAnsi="Cambria" w:cs="Cambria"/>
          <w:color w:val="000000"/>
        </w:rPr>
      </w:pPr>
      <w:r>
        <w:rPr>
          <w:rFonts w:ascii="Cambria" w:eastAsia="Cambria" w:hAnsi="Cambria" w:cs="Cambria"/>
          <w:color w:val="000000"/>
        </w:rPr>
        <w:t>The program must disclose its status with regard to accreditation, including the specific academic program covered by that status, and the name, address, and telephone number of the Commission on Accreditation. The program should make available, as appropriate through its sponsor institution, such reports or other materials as pertain to the program’s accreditation status.</w:t>
      </w:r>
    </w:p>
    <w:p w14:paraId="0000075C" w14:textId="77777777" w:rsidR="00CD3527" w:rsidRDefault="007F4AED">
      <w:pPr>
        <w:numPr>
          <w:ilvl w:val="3"/>
          <w:numId w:val="60"/>
        </w:numPr>
        <w:pBdr>
          <w:top w:val="nil"/>
          <w:left w:val="nil"/>
          <w:bottom w:val="nil"/>
          <w:right w:val="nil"/>
          <w:between w:val="nil"/>
        </w:pBdr>
        <w:tabs>
          <w:tab w:val="left" w:pos="3060"/>
        </w:tabs>
        <w:ind w:left="1440"/>
        <w:rPr>
          <w:rFonts w:ascii="Cambria" w:eastAsia="Cambria" w:hAnsi="Cambria" w:cs="Cambria"/>
          <w:b/>
          <w:color w:val="000000"/>
        </w:rPr>
      </w:pPr>
      <w:r>
        <w:rPr>
          <w:rFonts w:ascii="Cambria" w:eastAsia="Cambria" w:hAnsi="Cambria" w:cs="Cambria"/>
          <w:b/>
          <w:color w:val="000000"/>
        </w:rPr>
        <w:t xml:space="preserve">Communication with Prospective and Current Students </w:t>
      </w:r>
    </w:p>
    <w:p w14:paraId="0000075D" w14:textId="77777777" w:rsidR="00CD3527" w:rsidRDefault="007F4AED">
      <w:pPr>
        <w:numPr>
          <w:ilvl w:val="4"/>
          <w:numId w:val="60"/>
        </w:numPr>
        <w:pBdr>
          <w:top w:val="nil"/>
          <w:left w:val="nil"/>
          <w:bottom w:val="nil"/>
          <w:right w:val="nil"/>
          <w:between w:val="nil"/>
        </w:pBdr>
        <w:tabs>
          <w:tab w:val="left" w:pos="3060"/>
        </w:tabs>
        <w:ind w:left="1800"/>
        <w:rPr>
          <w:rFonts w:ascii="Cambria" w:eastAsia="Cambria" w:hAnsi="Cambria" w:cs="Cambria"/>
          <w:color w:val="000000"/>
        </w:rPr>
      </w:pPr>
      <w:r>
        <w:rPr>
          <w:rFonts w:ascii="Cambria" w:eastAsia="Cambria" w:hAnsi="Cambria" w:cs="Cambria"/>
          <w:color w:val="000000"/>
        </w:rPr>
        <w:t xml:space="preserve">All communications with potential students should be informative, accurate, and transparent. </w:t>
      </w:r>
    </w:p>
    <w:p w14:paraId="0000075E" w14:textId="77777777" w:rsidR="00CD3527" w:rsidRDefault="007F4AED">
      <w:pPr>
        <w:numPr>
          <w:ilvl w:val="4"/>
          <w:numId w:val="60"/>
        </w:numPr>
        <w:pBdr>
          <w:top w:val="nil"/>
          <w:left w:val="nil"/>
          <w:bottom w:val="nil"/>
          <w:right w:val="nil"/>
          <w:between w:val="nil"/>
        </w:pBdr>
        <w:tabs>
          <w:tab w:val="left" w:pos="3060"/>
        </w:tabs>
        <w:ind w:left="1800"/>
        <w:rPr>
          <w:rFonts w:ascii="Cambria" w:eastAsia="Cambria" w:hAnsi="Cambria" w:cs="Cambria"/>
          <w:color w:val="000000"/>
        </w:rPr>
      </w:pPr>
      <w:r>
        <w:rPr>
          <w:rFonts w:ascii="Cambria" w:eastAsia="Cambria" w:hAnsi="Cambria" w:cs="Cambria"/>
          <w:color w:val="000000"/>
        </w:rPr>
        <w:t xml:space="preserve">The program must be described accurately and completely in documents that are available to current students, prospective students, and other publics. This information should be presented in a manner that allows applicants to make informed decisions about entering the program. Program descriptions should be updated regularly as new cohorts begin and complete the program. </w:t>
      </w:r>
    </w:p>
    <w:p w14:paraId="0000075F" w14:textId="77777777" w:rsidR="00CD3527" w:rsidRDefault="007F4AED">
      <w:pPr>
        <w:numPr>
          <w:ilvl w:val="4"/>
          <w:numId w:val="60"/>
        </w:numPr>
        <w:pBdr>
          <w:top w:val="nil"/>
          <w:left w:val="nil"/>
          <w:bottom w:val="nil"/>
          <w:right w:val="nil"/>
          <w:between w:val="nil"/>
        </w:pBdr>
        <w:tabs>
          <w:tab w:val="left" w:pos="3060"/>
        </w:tabs>
        <w:ind w:left="1800"/>
        <w:rPr>
          <w:rFonts w:ascii="Cambria" w:eastAsia="Cambria" w:hAnsi="Cambria" w:cs="Cambria"/>
          <w:color w:val="000000"/>
        </w:rPr>
      </w:pPr>
      <w:r>
        <w:rPr>
          <w:rFonts w:ascii="Cambria" w:eastAsia="Cambria" w:hAnsi="Cambria" w:cs="Cambria"/>
          <w:color w:val="000000"/>
        </w:rPr>
        <w:t>Descriptions of the program should include information about its requirements for admission and graduation; tuition and other costs; curriculum; time to completion; faculty, students, facilities, and other resources, including distance learning technologies; administrative policies and procedures; the kinds of research, practicum, and internship experiences it provides; and its education and training outcomes.</w:t>
      </w:r>
    </w:p>
    <w:p w14:paraId="00000760" w14:textId="77777777" w:rsidR="00CD3527" w:rsidRDefault="007F4AED">
      <w:pPr>
        <w:numPr>
          <w:ilvl w:val="5"/>
          <w:numId w:val="60"/>
        </w:numPr>
        <w:pBdr>
          <w:top w:val="nil"/>
          <w:left w:val="nil"/>
          <w:bottom w:val="nil"/>
          <w:right w:val="nil"/>
          <w:between w:val="nil"/>
        </w:pBdr>
        <w:tabs>
          <w:tab w:val="left" w:pos="3060"/>
        </w:tabs>
        <w:ind w:left="2160"/>
        <w:rPr>
          <w:rFonts w:ascii="Cambria" w:eastAsia="Cambria" w:hAnsi="Cambria" w:cs="Cambria"/>
          <w:color w:val="000000"/>
        </w:rPr>
      </w:pPr>
      <w:r>
        <w:rPr>
          <w:rFonts w:ascii="Cambria" w:eastAsia="Cambria" w:hAnsi="Cambria" w:cs="Cambria"/>
          <w:color w:val="000000"/>
        </w:rPr>
        <w:t xml:space="preserve">If the program has criteria for selection that involve competence‐based assessments (e.g., GRE subject tests), it must describe how those criteria are appropriate for the aims of the program, how the curriculum is structured in terms of  students’ initial assessed competency at entry to the program, and how the criteria maximize student success. </w:t>
      </w:r>
    </w:p>
    <w:p w14:paraId="00000761" w14:textId="77777777" w:rsidR="00CD3527" w:rsidRDefault="007F4AED">
      <w:pPr>
        <w:numPr>
          <w:ilvl w:val="5"/>
          <w:numId w:val="60"/>
        </w:numPr>
        <w:pBdr>
          <w:top w:val="nil"/>
          <w:left w:val="nil"/>
          <w:bottom w:val="nil"/>
          <w:right w:val="nil"/>
          <w:between w:val="nil"/>
        </w:pBdr>
        <w:tabs>
          <w:tab w:val="left" w:pos="3060"/>
        </w:tabs>
        <w:ind w:left="2160"/>
        <w:rPr>
          <w:rFonts w:ascii="Cambria" w:eastAsia="Cambria" w:hAnsi="Cambria" w:cs="Cambria"/>
          <w:color w:val="000000"/>
        </w:rPr>
      </w:pPr>
      <w:r>
        <w:rPr>
          <w:rFonts w:ascii="Cambria" w:eastAsia="Cambria" w:hAnsi="Cambria" w:cs="Cambria"/>
          <w:color w:val="000000"/>
        </w:rPr>
        <w:t>If the program has broad entrance criteria (e.g., undergraduate or graduate GPA), it must address how students will be prepared for advanced education and training in psychology, how the curriculum is structured in accord with the goal of graduate‐level competency, and how the criteria relative to the curriculum maximize student success.</w:t>
      </w:r>
    </w:p>
    <w:p w14:paraId="00000762" w14:textId="77777777" w:rsidR="00CD3527" w:rsidRDefault="007F4AED">
      <w:pPr>
        <w:numPr>
          <w:ilvl w:val="4"/>
          <w:numId w:val="60"/>
        </w:numPr>
        <w:pBdr>
          <w:top w:val="nil"/>
          <w:left w:val="nil"/>
          <w:bottom w:val="nil"/>
          <w:right w:val="nil"/>
          <w:between w:val="nil"/>
        </w:pBdr>
        <w:tabs>
          <w:tab w:val="left" w:pos="3060"/>
        </w:tabs>
        <w:ind w:left="1800"/>
        <w:rPr>
          <w:rFonts w:ascii="Cambria" w:eastAsia="Cambria" w:hAnsi="Cambria" w:cs="Cambria"/>
          <w:color w:val="000000"/>
        </w:rPr>
      </w:pPr>
      <w:r>
        <w:rPr>
          <w:rFonts w:ascii="Cambria" w:eastAsia="Cambria" w:hAnsi="Cambria" w:cs="Cambria"/>
          <w:color w:val="000000"/>
        </w:rPr>
        <w:lastRenderedPageBreak/>
        <w:t xml:space="preserve">The program must provide reasonable notice to its current students of changes to its aims, curriculum, program resources, and administrative policies and procedures, as well as any other program transitions that may impact its educational quality. </w:t>
      </w:r>
    </w:p>
    <w:p w14:paraId="00000763" w14:textId="77777777" w:rsidR="00CD3527" w:rsidRDefault="007F4AED">
      <w:pPr>
        <w:numPr>
          <w:ilvl w:val="3"/>
          <w:numId w:val="60"/>
        </w:numPr>
        <w:pBdr>
          <w:top w:val="nil"/>
          <w:left w:val="nil"/>
          <w:bottom w:val="nil"/>
          <w:right w:val="nil"/>
          <w:between w:val="nil"/>
        </w:pBdr>
        <w:tabs>
          <w:tab w:val="left" w:pos="3060"/>
        </w:tabs>
        <w:ind w:left="1440"/>
        <w:rPr>
          <w:rFonts w:ascii="Cambria" w:eastAsia="Cambria" w:hAnsi="Cambria" w:cs="Cambria"/>
          <w:b/>
          <w:color w:val="000000"/>
        </w:rPr>
      </w:pPr>
      <w:r>
        <w:rPr>
          <w:rFonts w:ascii="Cambria" w:eastAsia="Cambria" w:hAnsi="Cambria" w:cs="Cambria"/>
          <w:b/>
          <w:color w:val="000000"/>
        </w:rPr>
        <w:t xml:space="preserve">Communication Between Doctoral and Doctoral Internship Programs </w:t>
      </w:r>
    </w:p>
    <w:p w14:paraId="00000764" w14:textId="77777777" w:rsidR="00CD3527" w:rsidRDefault="007F4AED">
      <w:pPr>
        <w:numPr>
          <w:ilvl w:val="4"/>
          <w:numId w:val="60"/>
        </w:numPr>
        <w:pBdr>
          <w:top w:val="nil"/>
          <w:left w:val="nil"/>
          <w:bottom w:val="nil"/>
          <w:right w:val="nil"/>
          <w:between w:val="nil"/>
        </w:pBdr>
        <w:tabs>
          <w:tab w:val="left" w:pos="3060"/>
        </w:tabs>
        <w:ind w:left="1800"/>
        <w:rPr>
          <w:rFonts w:ascii="Cambria" w:eastAsia="Cambria" w:hAnsi="Cambria" w:cs="Cambria"/>
          <w:color w:val="000000"/>
        </w:rPr>
      </w:pPr>
      <w:r>
        <w:rPr>
          <w:rFonts w:ascii="Cambria" w:eastAsia="Cambria" w:hAnsi="Cambria" w:cs="Cambria"/>
          <w:color w:val="000000"/>
        </w:rPr>
        <w:t>Throughout the internship year, communication between the doctoral program and the internship should be maintained. This ongoing interaction can remain largely informal, depending on the needs of the program and the trainee. The doctoral program should initiate this contact at the start of the training year.</w:t>
      </w:r>
    </w:p>
    <w:p w14:paraId="00000765" w14:textId="77777777" w:rsidR="00CD3527" w:rsidRDefault="007F4AED">
      <w:pPr>
        <w:numPr>
          <w:ilvl w:val="4"/>
          <w:numId w:val="60"/>
        </w:numPr>
        <w:pBdr>
          <w:top w:val="nil"/>
          <w:left w:val="nil"/>
          <w:bottom w:val="nil"/>
          <w:right w:val="nil"/>
          <w:between w:val="nil"/>
        </w:pBdr>
        <w:tabs>
          <w:tab w:val="left" w:pos="3060"/>
        </w:tabs>
        <w:ind w:left="1800"/>
        <w:rPr>
          <w:rFonts w:ascii="Cambria" w:eastAsia="Cambria" w:hAnsi="Cambria" w:cs="Cambria"/>
          <w:color w:val="000000"/>
        </w:rPr>
      </w:pPr>
      <w:r>
        <w:rPr>
          <w:rFonts w:ascii="Cambria" w:eastAsia="Cambria" w:hAnsi="Cambria" w:cs="Cambria"/>
          <w:color w:val="000000"/>
        </w:rPr>
        <w:t xml:space="preserve">Any formal, written internship evaluations must be retained in student files and used to evaluate the student competencies required for degree completion.  </w:t>
      </w:r>
    </w:p>
    <w:p w14:paraId="00000766" w14:textId="77777777" w:rsidR="00CD3527" w:rsidRDefault="00CD3527">
      <w:pPr>
        <w:pBdr>
          <w:top w:val="nil"/>
          <w:left w:val="nil"/>
          <w:bottom w:val="nil"/>
          <w:right w:val="nil"/>
          <w:between w:val="nil"/>
        </w:pBdr>
        <w:tabs>
          <w:tab w:val="left" w:pos="3060"/>
        </w:tabs>
        <w:rPr>
          <w:rFonts w:ascii="Cambria" w:eastAsia="Cambria" w:hAnsi="Cambria" w:cs="Cambria"/>
          <w:color w:val="000000"/>
        </w:rPr>
      </w:pPr>
    </w:p>
    <w:p w14:paraId="00000767" w14:textId="77777777" w:rsidR="00CD3527" w:rsidRDefault="007F4AED">
      <w:pPr>
        <w:pBdr>
          <w:top w:val="nil"/>
          <w:left w:val="nil"/>
          <w:bottom w:val="nil"/>
          <w:right w:val="nil"/>
          <w:between w:val="nil"/>
        </w:pBdr>
        <w:tabs>
          <w:tab w:val="left" w:pos="3060"/>
        </w:tabs>
        <w:rPr>
          <w:rFonts w:ascii="Cambria" w:eastAsia="Cambria" w:hAnsi="Cambria" w:cs="Cambria"/>
          <w:b/>
          <w:color w:val="000000"/>
        </w:rPr>
      </w:pPr>
      <w:r>
        <w:rPr>
          <w:rFonts w:ascii="Cambria" w:eastAsia="Cambria" w:hAnsi="Cambria" w:cs="Cambria"/>
          <w:b/>
          <w:color w:val="000000"/>
        </w:rPr>
        <w:t>B. Communication and Relationship With the Accrediting Body</w:t>
      </w:r>
    </w:p>
    <w:p w14:paraId="00000768" w14:textId="77777777" w:rsidR="00CD3527" w:rsidRDefault="007F4AED">
      <w:pPr>
        <w:pBdr>
          <w:top w:val="nil"/>
          <w:left w:val="nil"/>
          <w:bottom w:val="nil"/>
          <w:right w:val="nil"/>
          <w:between w:val="nil"/>
        </w:pBdr>
        <w:tabs>
          <w:tab w:val="left" w:pos="3060"/>
        </w:tabs>
        <w:ind w:left="1080"/>
        <w:rPr>
          <w:rFonts w:ascii="Cambria" w:eastAsia="Cambria" w:hAnsi="Cambria" w:cs="Cambria"/>
          <w:color w:val="000000"/>
        </w:rPr>
      </w:pPr>
      <w:r>
        <w:rPr>
          <w:rFonts w:ascii="Cambria" w:eastAsia="Cambria" w:hAnsi="Cambria" w:cs="Cambria"/>
          <w:color w:val="000000"/>
        </w:rPr>
        <w:t>The program must demonstrate its commitment to the accreditation process through:</w:t>
      </w:r>
    </w:p>
    <w:p w14:paraId="00000769" w14:textId="77777777" w:rsidR="00CD3527" w:rsidRDefault="007F4AED">
      <w:pPr>
        <w:numPr>
          <w:ilvl w:val="3"/>
          <w:numId w:val="62"/>
        </w:numPr>
        <w:pBdr>
          <w:top w:val="nil"/>
          <w:left w:val="nil"/>
          <w:bottom w:val="nil"/>
          <w:right w:val="nil"/>
          <w:between w:val="nil"/>
        </w:pBdr>
        <w:tabs>
          <w:tab w:val="left" w:pos="3060"/>
        </w:tabs>
        <w:ind w:left="1440"/>
        <w:rPr>
          <w:rFonts w:ascii="Cambria" w:eastAsia="Cambria" w:hAnsi="Cambria" w:cs="Cambria"/>
          <w:color w:val="000000"/>
        </w:rPr>
      </w:pPr>
      <w:r>
        <w:rPr>
          <w:rFonts w:ascii="Cambria" w:eastAsia="Cambria" w:hAnsi="Cambria" w:cs="Cambria"/>
          <w:b/>
          <w:color w:val="000000"/>
        </w:rPr>
        <w:t>Adherence.</w:t>
      </w:r>
      <w:r>
        <w:rPr>
          <w:rFonts w:ascii="Cambria" w:eastAsia="Cambria" w:hAnsi="Cambria" w:cs="Cambria"/>
          <w:color w:val="000000"/>
        </w:rPr>
        <w:t xml:space="preserve"> The program must abide by the accrediting body’s published policies and procedures as they pertain to its recognition as an accredited program. The program must respond in a complete and timely manner to all requests for communication from the accrediting body, including completing all required reports and responding to all questions. </w:t>
      </w:r>
    </w:p>
    <w:p w14:paraId="0000076A" w14:textId="77777777" w:rsidR="00CD3527" w:rsidRDefault="007F4AED">
      <w:pPr>
        <w:numPr>
          <w:ilvl w:val="4"/>
          <w:numId w:val="62"/>
        </w:numPr>
        <w:pBdr>
          <w:top w:val="nil"/>
          <w:left w:val="nil"/>
          <w:bottom w:val="nil"/>
          <w:right w:val="nil"/>
          <w:between w:val="nil"/>
        </w:pBdr>
        <w:tabs>
          <w:tab w:val="left" w:pos="2790"/>
        </w:tabs>
        <w:ind w:left="1800"/>
        <w:rPr>
          <w:rFonts w:ascii="Cambria" w:eastAsia="Cambria" w:hAnsi="Cambria" w:cs="Cambria"/>
          <w:color w:val="000000"/>
        </w:rPr>
      </w:pPr>
      <w:r>
        <w:rPr>
          <w:rFonts w:ascii="Cambria" w:eastAsia="Cambria" w:hAnsi="Cambria" w:cs="Cambria"/>
          <w:color w:val="000000"/>
        </w:rPr>
        <w:t xml:space="preserve">Standard Reporting. The program must respond to regular, recurring information requests (e.g., annual reports and narrative reports) as required by the accrediting body’s policies and procedures. </w:t>
      </w:r>
    </w:p>
    <w:p w14:paraId="0000076B" w14:textId="77777777" w:rsidR="00CD3527" w:rsidRDefault="007F4AED">
      <w:pPr>
        <w:numPr>
          <w:ilvl w:val="4"/>
          <w:numId w:val="62"/>
        </w:numPr>
        <w:pBdr>
          <w:top w:val="nil"/>
          <w:left w:val="nil"/>
          <w:bottom w:val="nil"/>
          <w:right w:val="nil"/>
          <w:between w:val="nil"/>
        </w:pBdr>
        <w:tabs>
          <w:tab w:val="left" w:pos="2790"/>
        </w:tabs>
        <w:ind w:left="1800"/>
        <w:rPr>
          <w:rFonts w:ascii="Cambria" w:eastAsia="Cambria" w:hAnsi="Cambria" w:cs="Cambria"/>
          <w:color w:val="000000"/>
        </w:rPr>
      </w:pPr>
      <w:r>
        <w:rPr>
          <w:rFonts w:ascii="Cambria" w:eastAsia="Cambria" w:hAnsi="Cambria" w:cs="Cambria"/>
          <w:color w:val="000000"/>
        </w:rPr>
        <w:t xml:space="preserve">Nonstandard Reporting. The program must submit timely responses to any additional information requests from the accrediting body. </w:t>
      </w:r>
    </w:p>
    <w:p w14:paraId="0000076C" w14:textId="77777777" w:rsidR="00CD3527" w:rsidRDefault="007F4AED">
      <w:pPr>
        <w:numPr>
          <w:ilvl w:val="4"/>
          <w:numId w:val="62"/>
        </w:numPr>
        <w:pBdr>
          <w:top w:val="nil"/>
          <w:left w:val="nil"/>
          <w:bottom w:val="nil"/>
          <w:right w:val="nil"/>
          <w:between w:val="nil"/>
        </w:pBdr>
        <w:tabs>
          <w:tab w:val="left" w:pos="2790"/>
        </w:tabs>
        <w:ind w:left="1800"/>
        <w:rPr>
          <w:rFonts w:ascii="Cambria" w:eastAsia="Cambria" w:hAnsi="Cambria" w:cs="Cambria"/>
          <w:color w:val="000000"/>
        </w:rPr>
      </w:pPr>
      <w:r>
        <w:rPr>
          <w:rFonts w:ascii="Cambria" w:eastAsia="Cambria" w:hAnsi="Cambria" w:cs="Cambria"/>
          <w:color w:val="000000"/>
        </w:rPr>
        <w:t xml:space="preserve">Fees. The program must be in good standing with the accrediting body in terms of payment of fees associated with the maintenance of its accredited status. </w:t>
      </w:r>
    </w:p>
    <w:p w14:paraId="0000076D" w14:textId="77777777" w:rsidR="00CD3527" w:rsidRDefault="007F4AED">
      <w:pPr>
        <w:numPr>
          <w:ilvl w:val="3"/>
          <w:numId w:val="62"/>
        </w:numPr>
        <w:pBdr>
          <w:top w:val="nil"/>
          <w:left w:val="nil"/>
          <w:bottom w:val="nil"/>
          <w:right w:val="nil"/>
          <w:between w:val="nil"/>
        </w:pBdr>
        <w:tabs>
          <w:tab w:val="left" w:pos="2790"/>
        </w:tabs>
        <w:ind w:left="1440"/>
        <w:rPr>
          <w:rFonts w:ascii="Cambria" w:eastAsia="Cambria" w:hAnsi="Cambria" w:cs="Cambria"/>
          <w:color w:val="000000"/>
        </w:rPr>
      </w:pPr>
      <w:r>
        <w:rPr>
          <w:rFonts w:ascii="Cambria" w:eastAsia="Cambria" w:hAnsi="Cambria" w:cs="Cambria"/>
          <w:b/>
          <w:color w:val="000000"/>
        </w:rPr>
        <w:t>Communication.</w:t>
      </w:r>
      <w:r>
        <w:rPr>
          <w:rFonts w:ascii="Cambria" w:eastAsia="Cambria" w:hAnsi="Cambria" w:cs="Cambria"/>
          <w:color w:val="000000"/>
        </w:rPr>
        <w:t xml:space="preserve"> The program must inform the accrediting body in a timely manner of changes in its environment, plans, resources, or operations that could alter the program’s quality. This includes notification of any potential substantive changes in the program, such as changes in practice area or degree conferred or changes in faculty or administration.</w:t>
      </w:r>
    </w:p>
    <w:p w14:paraId="0000076E" w14:textId="77777777" w:rsidR="00CD3527" w:rsidRDefault="00CD3527">
      <w:pPr>
        <w:pStyle w:val="Heading1"/>
      </w:pPr>
      <w:bookmarkStart w:id="75" w:name="_heading=h.43ky6rz" w:colFirst="0" w:colLast="0"/>
      <w:bookmarkEnd w:id="75"/>
    </w:p>
    <w:p w14:paraId="0000076F" w14:textId="77777777" w:rsidR="00CD3527" w:rsidRDefault="00CD3527">
      <w:pPr>
        <w:pBdr>
          <w:top w:val="nil"/>
          <w:left w:val="nil"/>
          <w:bottom w:val="nil"/>
          <w:right w:val="nil"/>
          <w:between w:val="nil"/>
        </w:pBdr>
        <w:rPr>
          <w:rFonts w:ascii="Times" w:eastAsia="Times" w:hAnsi="Times" w:cs="Times"/>
          <w:color w:val="000000"/>
        </w:rPr>
      </w:pPr>
    </w:p>
    <w:p w14:paraId="00000770" w14:textId="77777777" w:rsidR="00CD3527" w:rsidRDefault="00CD3527">
      <w:pPr>
        <w:pBdr>
          <w:top w:val="nil"/>
          <w:left w:val="nil"/>
          <w:bottom w:val="nil"/>
          <w:right w:val="nil"/>
          <w:between w:val="nil"/>
        </w:pBdr>
        <w:rPr>
          <w:rFonts w:ascii="Times" w:eastAsia="Times" w:hAnsi="Times" w:cs="Times"/>
          <w:color w:val="000000"/>
        </w:rPr>
      </w:pPr>
    </w:p>
    <w:p w14:paraId="00000771" w14:textId="77777777" w:rsidR="00CD3527" w:rsidRDefault="007F4AED">
      <w:pPr>
        <w:pStyle w:val="Heading1"/>
        <w:rPr>
          <w:b w:val="0"/>
          <w:sz w:val="24"/>
          <w:szCs w:val="24"/>
        </w:rPr>
      </w:pPr>
      <w:r>
        <w:lastRenderedPageBreak/>
        <w:t>Determining Authorship Credit</w:t>
      </w:r>
      <w:r>
        <w:rPr>
          <w:b w:val="0"/>
          <w:sz w:val="24"/>
          <w:szCs w:val="24"/>
        </w:rPr>
        <w:t xml:space="preserve"> </w:t>
      </w:r>
    </w:p>
    <w:p w14:paraId="00000772"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Students are responsible for reading the </w:t>
      </w:r>
      <w:r>
        <w:rPr>
          <w:rFonts w:ascii="Cambria" w:eastAsia="Cambria" w:hAnsi="Cambria" w:cs="Cambria"/>
          <w:i/>
          <w:color w:val="000000"/>
        </w:rPr>
        <w:t xml:space="preserve">Ethical Principles of Psychologists and Code of Conduct </w:t>
      </w:r>
      <w:r>
        <w:rPr>
          <w:rFonts w:ascii="Cambria" w:eastAsia="Cambria" w:hAnsi="Cambria" w:cs="Cambria"/>
          <w:color w:val="000000"/>
        </w:rPr>
        <w:t xml:space="preserve">(APA, 2017), Section 8.12, and the </w:t>
      </w:r>
      <w:r>
        <w:rPr>
          <w:rFonts w:ascii="Cambria" w:eastAsia="Cambria" w:hAnsi="Cambria" w:cs="Cambria"/>
          <w:i/>
          <w:color w:val="000000"/>
        </w:rPr>
        <w:t xml:space="preserve">Publication Manual of the American Psychological Association </w:t>
      </w:r>
      <w:r>
        <w:rPr>
          <w:rFonts w:ascii="Cambria" w:eastAsia="Cambria" w:hAnsi="Cambria" w:cs="Cambria"/>
          <w:color w:val="000000"/>
        </w:rPr>
        <w:t>(7th Edition, 2019. These will be helpful in establishing guidelines for such questions as primary and secondary authorship. In addition, students may want to consult the article included at the end of this Handbook (Fine &amp; Kurdek, 1993). In general, the question of authorship arises regarding student scholarship and research in four overlapping situations:</w:t>
      </w:r>
    </w:p>
    <w:p w14:paraId="00000773" w14:textId="77777777" w:rsidR="00CD3527" w:rsidRDefault="007F4AED">
      <w:pPr>
        <w:numPr>
          <w:ilvl w:val="0"/>
          <w:numId w:val="38"/>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A student initiates the project and carries it through under the general sponsorship of a faculty member. In this instance, the student is either the senior author or the sole author. When a student is the sole author and the general sponsorship and guidance has been under a faculty member or committee, that faculty member or committee shall be identified in a footnote.</w:t>
      </w:r>
    </w:p>
    <w:p w14:paraId="00000774" w14:textId="77777777" w:rsidR="00CD3527" w:rsidRDefault="00CD3527">
      <w:pPr>
        <w:pBdr>
          <w:top w:val="nil"/>
          <w:left w:val="nil"/>
          <w:bottom w:val="nil"/>
          <w:right w:val="nil"/>
          <w:between w:val="nil"/>
        </w:pBdr>
        <w:ind w:left="720"/>
        <w:rPr>
          <w:rFonts w:ascii="Cambria" w:eastAsia="Cambria" w:hAnsi="Cambria" w:cs="Cambria"/>
          <w:color w:val="000000"/>
          <w:sz w:val="16"/>
          <w:szCs w:val="16"/>
        </w:rPr>
      </w:pPr>
    </w:p>
    <w:p w14:paraId="00000775" w14:textId="77777777" w:rsidR="00CD3527" w:rsidRDefault="007F4AED">
      <w:pPr>
        <w:numPr>
          <w:ilvl w:val="0"/>
          <w:numId w:val="38"/>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A student initiates a project and the effort is a collaborative one with a faculty member. In general, the student is to be considered the senior author and the faculty member the secondary author.</w:t>
      </w:r>
    </w:p>
    <w:p w14:paraId="00000776" w14:textId="77777777" w:rsidR="00CD3527" w:rsidRDefault="00CD3527">
      <w:pPr>
        <w:pBdr>
          <w:top w:val="nil"/>
          <w:left w:val="nil"/>
          <w:bottom w:val="nil"/>
          <w:right w:val="nil"/>
          <w:between w:val="nil"/>
        </w:pBdr>
        <w:ind w:left="720" w:hanging="720"/>
        <w:rPr>
          <w:rFonts w:ascii="Cambria" w:eastAsia="Cambria" w:hAnsi="Cambria" w:cs="Cambria"/>
          <w:color w:val="000000"/>
          <w:sz w:val="16"/>
          <w:szCs w:val="16"/>
        </w:rPr>
      </w:pPr>
    </w:p>
    <w:p w14:paraId="00000777" w14:textId="77777777" w:rsidR="00CD3527" w:rsidRDefault="007F4AED">
      <w:pPr>
        <w:numPr>
          <w:ilvl w:val="0"/>
          <w:numId w:val="38"/>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When a project arises from a faculty member's interests and/or research, secondary authorship depends on the relative input of the participants.</w:t>
      </w:r>
    </w:p>
    <w:p w14:paraId="00000778" w14:textId="77777777" w:rsidR="00CD3527" w:rsidRDefault="00CD3527">
      <w:pPr>
        <w:pBdr>
          <w:top w:val="nil"/>
          <w:left w:val="nil"/>
          <w:bottom w:val="nil"/>
          <w:right w:val="nil"/>
          <w:between w:val="nil"/>
        </w:pBdr>
        <w:ind w:left="720" w:hanging="720"/>
        <w:rPr>
          <w:rFonts w:ascii="Cambria" w:eastAsia="Cambria" w:hAnsi="Cambria" w:cs="Cambria"/>
          <w:color w:val="000000"/>
          <w:sz w:val="18"/>
          <w:szCs w:val="18"/>
        </w:rPr>
      </w:pPr>
    </w:p>
    <w:p w14:paraId="00000779" w14:textId="77777777" w:rsidR="00CD3527" w:rsidRDefault="007F4AED">
      <w:pPr>
        <w:numPr>
          <w:ilvl w:val="0"/>
          <w:numId w:val="38"/>
        </w:num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When students work together on a project with or without faculty participation, the guidelines set forth in the </w:t>
      </w:r>
      <w:r>
        <w:rPr>
          <w:rFonts w:ascii="Cambria" w:eastAsia="Cambria" w:hAnsi="Cambria" w:cs="Cambria"/>
          <w:i/>
          <w:color w:val="000000"/>
        </w:rPr>
        <w:t>Ethical Principles</w:t>
      </w:r>
      <w:r>
        <w:rPr>
          <w:rFonts w:ascii="Cambria" w:eastAsia="Cambria" w:hAnsi="Cambria" w:cs="Cambria"/>
          <w:color w:val="000000"/>
        </w:rPr>
        <w:t xml:space="preserve"> and the </w:t>
      </w:r>
      <w:r>
        <w:rPr>
          <w:rFonts w:ascii="Cambria" w:eastAsia="Cambria" w:hAnsi="Cambria" w:cs="Cambria"/>
          <w:i/>
          <w:color w:val="000000"/>
        </w:rPr>
        <w:t>Publication Manual</w:t>
      </w:r>
      <w:r>
        <w:rPr>
          <w:rFonts w:ascii="Cambria" w:eastAsia="Cambria" w:hAnsi="Cambria" w:cs="Cambria"/>
          <w:color w:val="000000"/>
        </w:rPr>
        <w:t xml:space="preserve"> are to be followed.</w:t>
      </w:r>
    </w:p>
    <w:p w14:paraId="0000077A" w14:textId="77777777" w:rsidR="00CD3527" w:rsidRDefault="00CD3527">
      <w:pPr>
        <w:pBdr>
          <w:top w:val="nil"/>
          <w:left w:val="nil"/>
          <w:bottom w:val="nil"/>
          <w:right w:val="nil"/>
          <w:between w:val="nil"/>
        </w:pBdr>
        <w:rPr>
          <w:rFonts w:ascii="Cambria" w:eastAsia="Cambria" w:hAnsi="Cambria" w:cs="Cambria"/>
          <w:color w:val="000000"/>
          <w:sz w:val="10"/>
          <w:szCs w:val="10"/>
        </w:rPr>
      </w:pPr>
    </w:p>
    <w:p w14:paraId="0000077B"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u w:val="single"/>
        </w:rPr>
        <w:t>In all cases, discussion of these matters should take place at the outset of the project</w:t>
      </w:r>
      <w:r>
        <w:rPr>
          <w:rFonts w:ascii="Cambria" w:eastAsia="Cambria" w:hAnsi="Cambria" w:cs="Cambria"/>
          <w:color w:val="000000"/>
        </w:rPr>
        <w:t xml:space="preserve">. Any changes in these arrangements should be agreed to by all parties. Should a disagreement over authorship arise, the parties may consult with the Director of Training, Department Chair, or Ombudsperson. </w:t>
      </w:r>
    </w:p>
    <w:p w14:paraId="0000077C" w14:textId="77777777" w:rsidR="00CD3527" w:rsidRDefault="00CD3527">
      <w:pPr>
        <w:pBdr>
          <w:top w:val="nil"/>
          <w:left w:val="nil"/>
          <w:bottom w:val="nil"/>
          <w:right w:val="nil"/>
          <w:between w:val="nil"/>
        </w:pBdr>
        <w:tabs>
          <w:tab w:val="left" w:pos="6480"/>
          <w:tab w:val="left" w:pos="9539"/>
        </w:tabs>
        <w:rPr>
          <w:rFonts w:ascii="Cambria" w:eastAsia="Cambria" w:hAnsi="Cambria" w:cs="Cambria"/>
          <w:color w:val="000000"/>
          <w:sz w:val="16"/>
          <w:szCs w:val="16"/>
        </w:rPr>
      </w:pPr>
    </w:p>
    <w:p w14:paraId="0000077D" w14:textId="77777777" w:rsidR="00CD3527" w:rsidRDefault="007F4AED">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Additionally, read about </w:t>
      </w:r>
      <w:r>
        <w:rPr>
          <w:rFonts w:ascii="Cambria" w:eastAsia="Cambria" w:hAnsi="Cambria" w:cs="Cambria"/>
          <w:b/>
          <w:i/>
          <w:color w:val="000000"/>
        </w:rPr>
        <w:t xml:space="preserve">authorship and authorship responsibilities </w:t>
      </w:r>
      <w:r>
        <w:rPr>
          <w:rFonts w:ascii="Cambria" w:eastAsia="Cambria" w:hAnsi="Cambria" w:cs="Cambria"/>
          <w:color w:val="000000"/>
        </w:rPr>
        <w:t xml:space="preserve">on the Council of Science Editors website: </w:t>
      </w:r>
      <w:hyperlink r:id="rId106">
        <w:r>
          <w:rPr>
            <w:rFonts w:ascii="Cambria" w:eastAsia="Cambria" w:hAnsi="Cambria" w:cs="Cambria"/>
            <w:color w:val="0000FF"/>
            <w:u w:val="single"/>
          </w:rPr>
          <w:t>https://www.councilscienceeditors.org/resource-library/editorial-policies/white-paper-on-publication-ethics/2-2-authorship-and-authorship-responsibilities/</w:t>
        </w:r>
      </w:hyperlink>
    </w:p>
    <w:p w14:paraId="0000077E" w14:textId="77777777" w:rsidR="00CD3527" w:rsidRDefault="00CD3527">
      <w:pPr>
        <w:pBdr>
          <w:top w:val="nil"/>
          <w:left w:val="nil"/>
          <w:bottom w:val="nil"/>
          <w:right w:val="nil"/>
          <w:between w:val="nil"/>
        </w:pBdr>
        <w:tabs>
          <w:tab w:val="left" w:pos="6480"/>
          <w:tab w:val="left" w:pos="9539"/>
        </w:tabs>
        <w:rPr>
          <w:rFonts w:ascii="Cambria" w:eastAsia="Cambria" w:hAnsi="Cambria" w:cs="Cambria"/>
          <w:i/>
          <w:color w:val="000000"/>
          <w:sz w:val="18"/>
          <w:szCs w:val="18"/>
        </w:rPr>
      </w:pPr>
    </w:p>
    <w:p w14:paraId="0000077F" w14:textId="77777777" w:rsidR="00CD3527" w:rsidRDefault="007F4AED">
      <w:pPr>
        <w:rPr>
          <w:rFonts w:ascii="Cambria" w:eastAsia="Cambria" w:hAnsi="Cambria" w:cs="Cambria"/>
        </w:rPr>
      </w:pPr>
      <w:r>
        <w:rPr>
          <w:rFonts w:ascii="Cambria" w:eastAsia="Cambria" w:hAnsi="Cambria" w:cs="Cambria"/>
        </w:rPr>
        <w:t xml:space="preserve">Further resources on how to decide authorship orders are found here: </w:t>
      </w:r>
    </w:p>
    <w:p w14:paraId="00000780" w14:textId="77777777" w:rsidR="00CD3527" w:rsidRDefault="007F4AED">
      <w:pPr>
        <w:numPr>
          <w:ilvl w:val="0"/>
          <w:numId w:val="85"/>
        </w:numPr>
        <w:pBdr>
          <w:top w:val="nil"/>
          <w:left w:val="nil"/>
          <w:bottom w:val="nil"/>
          <w:right w:val="nil"/>
          <w:between w:val="nil"/>
        </w:pBdr>
        <w:rPr>
          <w:rFonts w:ascii="Cambria" w:eastAsia="Cambria" w:hAnsi="Cambria" w:cs="Cambria"/>
          <w:color w:val="222222"/>
          <w:highlight w:val="white"/>
        </w:rPr>
      </w:pPr>
      <w:r>
        <w:rPr>
          <w:rFonts w:ascii="Cambria" w:eastAsia="Cambria" w:hAnsi="Cambria" w:cs="Cambria"/>
          <w:color w:val="222222"/>
          <w:highlight w:val="white"/>
        </w:rPr>
        <w:t>APA Science Student Council (2006). A Graduate Student’s Guide to Determining Authorship Credit and Authorship Order. Retrieved from: </w:t>
      </w:r>
    </w:p>
    <w:p w14:paraId="00000781" w14:textId="77777777" w:rsidR="00CD3527" w:rsidRDefault="009052E7">
      <w:pPr>
        <w:pBdr>
          <w:top w:val="nil"/>
          <w:left w:val="nil"/>
          <w:bottom w:val="nil"/>
          <w:right w:val="nil"/>
          <w:between w:val="nil"/>
        </w:pBdr>
        <w:ind w:left="630"/>
        <w:rPr>
          <w:rFonts w:ascii="Cambria" w:eastAsia="Cambria" w:hAnsi="Cambria" w:cs="Cambria"/>
          <w:color w:val="222222"/>
          <w:highlight w:val="white"/>
        </w:rPr>
      </w:pPr>
      <w:hyperlink r:id="rId107">
        <w:r w:rsidR="007F4AED">
          <w:rPr>
            <w:rFonts w:ascii="Cambria" w:eastAsia="Cambria" w:hAnsi="Cambria" w:cs="Cambria"/>
            <w:color w:val="1155CC"/>
            <w:highlight w:val="white"/>
            <w:u w:val="single"/>
          </w:rPr>
          <w:t>http://www.apa.org/science/leadership/students/authorshippaper.pdf</w:t>
        </w:r>
      </w:hyperlink>
      <w:r w:rsidR="007F4AED">
        <w:rPr>
          <w:rFonts w:ascii="Cambria" w:eastAsia="Cambria" w:hAnsi="Cambria" w:cs="Cambria"/>
          <w:color w:val="222222"/>
          <w:highlight w:val="white"/>
        </w:rPr>
        <w:t> </w:t>
      </w:r>
    </w:p>
    <w:p w14:paraId="00000782" w14:textId="77777777" w:rsidR="00CD3527" w:rsidRDefault="007F4AED">
      <w:pPr>
        <w:numPr>
          <w:ilvl w:val="0"/>
          <w:numId w:val="85"/>
        </w:numPr>
        <w:pBdr>
          <w:top w:val="nil"/>
          <w:left w:val="nil"/>
          <w:bottom w:val="nil"/>
          <w:right w:val="nil"/>
          <w:between w:val="nil"/>
        </w:pBdr>
        <w:rPr>
          <w:rFonts w:ascii="Cambria" w:eastAsia="Cambria" w:hAnsi="Cambria" w:cs="Cambria"/>
          <w:color w:val="000000"/>
        </w:rPr>
      </w:pPr>
      <w:r>
        <w:rPr>
          <w:rFonts w:ascii="Cambria" w:eastAsia="Cambria" w:hAnsi="Cambria" w:cs="Cambria"/>
          <w:color w:val="222222"/>
          <w:highlight w:val="white"/>
        </w:rPr>
        <w:t>Gaffey, A. (2015). Determining and negotiating authorship: Frequent communication and a dynamic approach can help minimize disagreements. Retrieved  from: </w:t>
      </w:r>
    </w:p>
    <w:p w14:paraId="00000783" w14:textId="77777777" w:rsidR="00CD3527" w:rsidRDefault="009052E7">
      <w:pPr>
        <w:pBdr>
          <w:top w:val="nil"/>
          <w:left w:val="nil"/>
          <w:bottom w:val="nil"/>
          <w:right w:val="nil"/>
          <w:between w:val="nil"/>
        </w:pBdr>
        <w:ind w:left="630"/>
        <w:rPr>
          <w:rFonts w:ascii="Cambria" w:eastAsia="Cambria" w:hAnsi="Cambria" w:cs="Cambria"/>
          <w:color w:val="000000"/>
        </w:rPr>
      </w:pPr>
      <w:hyperlink r:id="rId108">
        <w:r w:rsidR="007F4AED">
          <w:rPr>
            <w:rFonts w:ascii="Cambria" w:eastAsia="Cambria" w:hAnsi="Cambria" w:cs="Cambria"/>
            <w:color w:val="1155CC"/>
            <w:highlight w:val="white"/>
            <w:u w:val="single"/>
          </w:rPr>
          <w:t>http://www.apa.org/science/about/psa/2015/06/determining-authorship.aspx</w:t>
        </w:r>
      </w:hyperlink>
      <w:r w:rsidR="007F4AED">
        <w:rPr>
          <w:rFonts w:ascii="Cambria" w:eastAsia="Cambria" w:hAnsi="Cambria" w:cs="Cambria"/>
          <w:color w:val="222222"/>
          <w:highlight w:val="white"/>
        </w:rPr>
        <w:t xml:space="preserve">   </w:t>
      </w:r>
    </w:p>
    <w:sectPr w:rsidR="00CD3527">
      <w:headerReference w:type="even" r:id="rId109"/>
      <w:headerReference w:type="default" r:id="rId110"/>
      <w:pgSz w:w="12240" w:h="15840"/>
      <w:pgMar w:top="1440" w:right="1890" w:bottom="144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9550D9" w14:textId="77777777" w:rsidR="009052E7" w:rsidRDefault="009052E7">
      <w:r>
        <w:separator/>
      </w:r>
    </w:p>
  </w:endnote>
  <w:endnote w:type="continuationSeparator" w:id="0">
    <w:p w14:paraId="334E46B7" w14:textId="77777777" w:rsidR="009052E7" w:rsidRDefault="009052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Times">
    <w:altName w:val="Times New Roman"/>
    <w:panose1 w:val="02020603050405020304"/>
    <w:charset w:val="00"/>
    <w:family w:val="roman"/>
    <w:pitch w:val="variable"/>
    <w:sig w:usb0="E0002EFF" w:usb1="C000785B" w:usb2="00000009" w:usb3="00000000" w:csb0="000001FF" w:csb1="00000000"/>
  </w:font>
  <w:font w:name="New York">
    <w:panose1 w:val="02040503060506020304"/>
    <w:charset w:val="4D"/>
    <w:family w:val="roman"/>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899BFA" w14:textId="77777777" w:rsidR="009052E7" w:rsidRDefault="009052E7">
      <w:r>
        <w:separator/>
      </w:r>
    </w:p>
  </w:footnote>
  <w:footnote w:type="continuationSeparator" w:id="0">
    <w:p w14:paraId="4AF25D25" w14:textId="77777777" w:rsidR="009052E7" w:rsidRDefault="009052E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786" w14:textId="77777777" w:rsidR="00CD3527" w:rsidRDefault="00CD3527">
    <w:pPr>
      <w:pBdr>
        <w:top w:val="nil"/>
        <w:left w:val="nil"/>
        <w:bottom w:val="nil"/>
        <w:right w:val="nil"/>
        <w:between w:val="nil"/>
      </w:pBdr>
      <w:tabs>
        <w:tab w:val="center" w:pos="4320"/>
        <w:tab w:val="right" w:pos="8640"/>
      </w:tabs>
      <w:jc w:val="right"/>
      <w:rPr>
        <w:rFonts w:ascii="Times" w:eastAsia="Times" w:hAnsi="Times" w:cs="Times"/>
        <w:color w:val="000000"/>
      </w:rPr>
    </w:pPr>
  </w:p>
  <w:p w14:paraId="00000787" w14:textId="77777777" w:rsidR="00CD3527" w:rsidRDefault="007F4AED">
    <w:pPr>
      <w:pBdr>
        <w:top w:val="nil"/>
        <w:left w:val="nil"/>
        <w:bottom w:val="nil"/>
        <w:right w:val="nil"/>
        <w:between w:val="nil"/>
      </w:pBdr>
      <w:tabs>
        <w:tab w:val="center" w:pos="4320"/>
        <w:tab w:val="right" w:pos="8640"/>
      </w:tabs>
      <w:ind w:right="360"/>
      <w:rPr>
        <w:rFonts w:ascii="Times" w:eastAsia="Times" w:hAnsi="Times" w:cs="Times"/>
        <w:color w:val="000000"/>
      </w:rPr>
    </w:pPr>
    <w:r>
      <w:rPr>
        <w:rFonts w:ascii="Times" w:eastAsia="Times" w:hAnsi="Times" w:cs="Times"/>
        <w:color w:val="000000"/>
      </w:rPr>
      <w:fldChar w:fldCharType="begin"/>
    </w:r>
    <w:r>
      <w:rPr>
        <w:rFonts w:ascii="Times" w:eastAsia="Times" w:hAnsi="Times" w:cs="Times"/>
        <w:color w:val="000000"/>
      </w:rPr>
      <w:instrText>PAGE</w:instrText>
    </w:r>
    <w:r w:rsidR="009052E7">
      <w:rPr>
        <w:rFonts w:ascii="Times" w:eastAsia="Times" w:hAnsi="Times" w:cs="Times"/>
        <w:color w:val="000000"/>
      </w:rPr>
      <w:fldChar w:fldCharType="separate"/>
    </w:r>
    <w:r>
      <w:rPr>
        <w:rFonts w:ascii="Times" w:eastAsia="Times" w:hAnsi="Times" w:cs="Times"/>
        <w:color w:val="000000"/>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784" w14:textId="5032B770" w:rsidR="00CD3527" w:rsidRDefault="007F4AED">
    <w:pPr>
      <w:pBdr>
        <w:top w:val="nil"/>
        <w:left w:val="nil"/>
        <w:bottom w:val="nil"/>
        <w:right w:val="nil"/>
        <w:between w:val="nil"/>
      </w:pBdr>
      <w:tabs>
        <w:tab w:val="center" w:pos="4320"/>
        <w:tab w:val="right" w:pos="8640"/>
      </w:tabs>
      <w:jc w:val="right"/>
      <w:rPr>
        <w:rFonts w:ascii="Times" w:eastAsia="Times" w:hAnsi="Times" w:cs="Times"/>
        <w:color w:val="000000"/>
      </w:rPr>
    </w:pPr>
    <w:r>
      <w:rPr>
        <w:rFonts w:ascii="Times" w:eastAsia="Times" w:hAnsi="Times" w:cs="Times"/>
        <w:color w:val="000000"/>
      </w:rPr>
      <w:fldChar w:fldCharType="begin"/>
    </w:r>
    <w:r>
      <w:rPr>
        <w:rFonts w:ascii="Times" w:eastAsia="Times" w:hAnsi="Times" w:cs="Times"/>
        <w:color w:val="000000"/>
      </w:rPr>
      <w:instrText>PAGE</w:instrText>
    </w:r>
    <w:r>
      <w:rPr>
        <w:rFonts w:ascii="Times" w:eastAsia="Times" w:hAnsi="Times" w:cs="Times"/>
        <w:color w:val="000000"/>
      </w:rPr>
      <w:fldChar w:fldCharType="separate"/>
    </w:r>
    <w:r w:rsidR="00081622">
      <w:rPr>
        <w:rFonts w:ascii="Times" w:eastAsia="Times" w:hAnsi="Times" w:cs="Times"/>
        <w:noProof/>
        <w:color w:val="000000"/>
      </w:rPr>
      <w:t>2</w:t>
    </w:r>
    <w:r>
      <w:rPr>
        <w:rFonts w:ascii="Times" w:eastAsia="Times" w:hAnsi="Times" w:cs="Times"/>
        <w:color w:val="000000"/>
      </w:rPr>
      <w:fldChar w:fldCharType="end"/>
    </w:r>
  </w:p>
  <w:p w14:paraId="00000785" w14:textId="77777777" w:rsidR="00CD3527" w:rsidRDefault="00CD3527">
    <w:pPr>
      <w:pBdr>
        <w:top w:val="nil"/>
        <w:left w:val="nil"/>
        <w:bottom w:val="nil"/>
        <w:right w:val="nil"/>
        <w:between w:val="nil"/>
      </w:pBdr>
      <w:tabs>
        <w:tab w:val="center" w:pos="4320"/>
        <w:tab w:val="right" w:pos="8640"/>
      </w:tabs>
      <w:ind w:right="360"/>
      <w:rPr>
        <w:rFonts w:ascii="Times" w:eastAsia="Times" w:hAnsi="Times" w:cs="Times"/>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47CDB"/>
    <w:multiLevelType w:val="multilevel"/>
    <w:tmpl w:val="4894DB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30D2A08"/>
    <w:multiLevelType w:val="multilevel"/>
    <w:tmpl w:val="5DE6D8C0"/>
    <w:lvl w:ilvl="0">
      <w:start w:val="1"/>
      <w:numFmt w:val="bullet"/>
      <w:lvlText w:val="●"/>
      <w:lvlJc w:val="left"/>
      <w:pPr>
        <w:ind w:left="630" w:hanging="360"/>
      </w:pPr>
      <w:rPr>
        <w:rFonts w:ascii="Noto Sans Symbols" w:eastAsia="Noto Sans Symbols" w:hAnsi="Noto Sans Symbols" w:cs="Noto Sans Symbols"/>
      </w:rPr>
    </w:lvl>
    <w:lvl w:ilvl="1">
      <w:start w:val="1"/>
      <w:numFmt w:val="bullet"/>
      <w:lvlText w:val="o"/>
      <w:lvlJc w:val="left"/>
      <w:pPr>
        <w:ind w:left="1350" w:hanging="360"/>
      </w:pPr>
      <w:rPr>
        <w:rFonts w:ascii="Courier New" w:eastAsia="Courier New" w:hAnsi="Courier New" w:cs="Courier New"/>
      </w:rPr>
    </w:lvl>
    <w:lvl w:ilvl="2">
      <w:start w:val="1"/>
      <w:numFmt w:val="bullet"/>
      <w:lvlText w:val="▪"/>
      <w:lvlJc w:val="left"/>
      <w:pPr>
        <w:ind w:left="2070" w:hanging="360"/>
      </w:pPr>
      <w:rPr>
        <w:rFonts w:ascii="Noto Sans Symbols" w:eastAsia="Noto Sans Symbols" w:hAnsi="Noto Sans Symbols" w:cs="Noto Sans Symbols"/>
      </w:rPr>
    </w:lvl>
    <w:lvl w:ilvl="3">
      <w:start w:val="1"/>
      <w:numFmt w:val="bullet"/>
      <w:lvlText w:val="●"/>
      <w:lvlJc w:val="left"/>
      <w:pPr>
        <w:ind w:left="2790" w:hanging="360"/>
      </w:pPr>
      <w:rPr>
        <w:rFonts w:ascii="Noto Sans Symbols" w:eastAsia="Noto Sans Symbols" w:hAnsi="Noto Sans Symbols" w:cs="Noto Sans Symbols"/>
      </w:rPr>
    </w:lvl>
    <w:lvl w:ilvl="4">
      <w:start w:val="1"/>
      <w:numFmt w:val="bullet"/>
      <w:lvlText w:val="o"/>
      <w:lvlJc w:val="left"/>
      <w:pPr>
        <w:ind w:left="3510" w:hanging="360"/>
      </w:pPr>
      <w:rPr>
        <w:rFonts w:ascii="Courier New" w:eastAsia="Courier New" w:hAnsi="Courier New" w:cs="Courier New"/>
      </w:rPr>
    </w:lvl>
    <w:lvl w:ilvl="5">
      <w:start w:val="1"/>
      <w:numFmt w:val="bullet"/>
      <w:lvlText w:val="▪"/>
      <w:lvlJc w:val="left"/>
      <w:pPr>
        <w:ind w:left="4230" w:hanging="360"/>
      </w:pPr>
      <w:rPr>
        <w:rFonts w:ascii="Noto Sans Symbols" w:eastAsia="Noto Sans Symbols" w:hAnsi="Noto Sans Symbols" w:cs="Noto Sans Symbols"/>
      </w:rPr>
    </w:lvl>
    <w:lvl w:ilvl="6">
      <w:start w:val="1"/>
      <w:numFmt w:val="bullet"/>
      <w:lvlText w:val="●"/>
      <w:lvlJc w:val="left"/>
      <w:pPr>
        <w:ind w:left="4950" w:hanging="360"/>
      </w:pPr>
      <w:rPr>
        <w:rFonts w:ascii="Noto Sans Symbols" w:eastAsia="Noto Sans Symbols" w:hAnsi="Noto Sans Symbols" w:cs="Noto Sans Symbols"/>
      </w:rPr>
    </w:lvl>
    <w:lvl w:ilvl="7">
      <w:start w:val="1"/>
      <w:numFmt w:val="bullet"/>
      <w:lvlText w:val="o"/>
      <w:lvlJc w:val="left"/>
      <w:pPr>
        <w:ind w:left="5670" w:hanging="360"/>
      </w:pPr>
      <w:rPr>
        <w:rFonts w:ascii="Courier New" w:eastAsia="Courier New" w:hAnsi="Courier New" w:cs="Courier New"/>
      </w:rPr>
    </w:lvl>
    <w:lvl w:ilvl="8">
      <w:start w:val="1"/>
      <w:numFmt w:val="bullet"/>
      <w:lvlText w:val="▪"/>
      <w:lvlJc w:val="left"/>
      <w:pPr>
        <w:ind w:left="6390" w:hanging="360"/>
      </w:pPr>
      <w:rPr>
        <w:rFonts w:ascii="Noto Sans Symbols" w:eastAsia="Noto Sans Symbols" w:hAnsi="Noto Sans Symbols" w:cs="Noto Sans Symbols"/>
      </w:rPr>
    </w:lvl>
  </w:abstractNum>
  <w:abstractNum w:abstractNumId="2" w15:restartNumberingAfterBreak="0">
    <w:nsid w:val="06482B72"/>
    <w:multiLevelType w:val="multilevel"/>
    <w:tmpl w:val="F536AE4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 w15:restartNumberingAfterBreak="0">
    <w:nsid w:val="076269A4"/>
    <w:multiLevelType w:val="multilevel"/>
    <w:tmpl w:val="328C860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 w15:restartNumberingAfterBreak="0">
    <w:nsid w:val="082A568F"/>
    <w:multiLevelType w:val="hybridMultilevel"/>
    <w:tmpl w:val="53A0BCAA"/>
    <w:lvl w:ilvl="0" w:tplc="6B6CAF1C">
      <w:numFmt w:val="bullet"/>
      <w:lvlText w:val="·"/>
      <w:lvlJc w:val="left"/>
      <w:pPr>
        <w:ind w:left="720" w:hanging="360"/>
      </w:pPr>
      <w:rPr>
        <w:rFonts w:ascii="Cambria" w:eastAsia="Cambria" w:hAnsi="Cambria" w:cs="Cambria"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9FB0167"/>
    <w:multiLevelType w:val="multilevel"/>
    <w:tmpl w:val="1BACE85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6" w15:restartNumberingAfterBreak="0">
    <w:nsid w:val="0B3D5747"/>
    <w:multiLevelType w:val="multilevel"/>
    <w:tmpl w:val="1ACA1766"/>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 w15:restartNumberingAfterBreak="0">
    <w:nsid w:val="0B835DB9"/>
    <w:multiLevelType w:val="multilevel"/>
    <w:tmpl w:val="95847F74"/>
    <w:lvl w:ilvl="0">
      <w:start w:val="1"/>
      <w:numFmt w:val="bullet"/>
      <w:lvlText w:val="●"/>
      <w:lvlJc w:val="left"/>
      <w:pPr>
        <w:ind w:left="630" w:hanging="360"/>
      </w:pPr>
      <w:rPr>
        <w:rFonts w:ascii="Noto Sans Symbols" w:eastAsia="Noto Sans Symbols" w:hAnsi="Noto Sans Symbols" w:cs="Noto Sans Symbols"/>
      </w:rPr>
    </w:lvl>
    <w:lvl w:ilvl="1">
      <w:start w:val="1"/>
      <w:numFmt w:val="bullet"/>
      <w:lvlText w:val="o"/>
      <w:lvlJc w:val="left"/>
      <w:pPr>
        <w:ind w:left="1350" w:hanging="360"/>
      </w:pPr>
      <w:rPr>
        <w:rFonts w:ascii="Courier New" w:eastAsia="Courier New" w:hAnsi="Courier New" w:cs="Courier New"/>
      </w:rPr>
    </w:lvl>
    <w:lvl w:ilvl="2">
      <w:start w:val="1"/>
      <w:numFmt w:val="bullet"/>
      <w:lvlText w:val="▪"/>
      <w:lvlJc w:val="left"/>
      <w:pPr>
        <w:ind w:left="2070" w:hanging="360"/>
      </w:pPr>
      <w:rPr>
        <w:rFonts w:ascii="Noto Sans Symbols" w:eastAsia="Noto Sans Symbols" w:hAnsi="Noto Sans Symbols" w:cs="Noto Sans Symbols"/>
      </w:rPr>
    </w:lvl>
    <w:lvl w:ilvl="3">
      <w:start w:val="1"/>
      <w:numFmt w:val="bullet"/>
      <w:lvlText w:val="●"/>
      <w:lvlJc w:val="left"/>
      <w:pPr>
        <w:ind w:left="2790" w:hanging="360"/>
      </w:pPr>
      <w:rPr>
        <w:rFonts w:ascii="Noto Sans Symbols" w:eastAsia="Noto Sans Symbols" w:hAnsi="Noto Sans Symbols" w:cs="Noto Sans Symbols"/>
      </w:rPr>
    </w:lvl>
    <w:lvl w:ilvl="4">
      <w:start w:val="1"/>
      <w:numFmt w:val="bullet"/>
      <w:lvlText w:val="o"/>
      <w:lvlJc w:val="left"/>
      <w:pPr>
        <w:ind w:left="3510" w:hanging="360"/>
      </w:pPr>
      <w:rPr>
        <w:rFonts w:ascii="Courier New" w:eastAsia="Courier New" w:hAnsi="Courier New" w:cs="Courier New"/>
      </w:rPr>
    </w:lvl>
    <w:lvl w:ilvl="5">
      <w:start w:val="1"/>
      <w:numFmt w:val="bullet"/>
      <w:lvlText w:val="▪"/>
      <w:lvlJc w:val="left"/>
      <w:pPr>
        <w:ind w:left="4230" w:hanging="360"/>
      </w:pPr>
      <w:rPr>
        <w:rFonts w:ascii="Noto Sans Symbols" w:eastAsia="Noto Sans Symbols" w:hAnsi="Noto Sans Symbols" w:cs="Noto Sans Symbols"/>
      </w:rPr>
    </w:lvl>
    <w:lvl w:ilvl="6">
      <w:start w:val="1"/>
      <w:numFmt w:val="bullet"/>
      <w:lvlText w:val="●"/>
      <w:lvlJc w:val="left"/>
      <w:pPr>
        <w:ind w:left="4950" w:hanging="360"/>
      </w:pPr>
      <w:rPr>
        <w:rFonts w:ascii="Noto Sans Symbols" w:eastAsia="Noto Sans Symbols" w:hAnsi="Noto Sans Symbols" w:cs="Noto Sans Symbols"/>
      </w:rPr>
    </w:lvl>
    <w:lvl w:ilvl="7">
      <w:start w:val="1"/>
      <w:numFmt w:val="bullet"/>
      <w:lvlText w:val="o"/>
      <w:lvlJc w:val="left"/>
      <w:pPr>
        <w:ind w:left="5670" w:hanging="360"/>
      </w:pPr>
      <w:rPr>
        <w:rFonts w:ascii="Courier New" w:eastAsia="Courier New" w:hAnsi="Courier New" w:cs="Courier New"/>
      </w:rPr>
    </w:lvl>
    <w:lvl w:ilvl="8">
      <w:start w:val="1"/>
      <w:numFmt w:val="bullet"/>
      <w:lvlText w:val="▪"/>
      <w:lvlJc w:val="left"/>
      <w:pPr>
        <w:ind w:left="6390" w:hanging="360"/>
      </w:pPr>
      <w:rPr>
        <w:rFonts w:ascii="Noto Sans Symbols" w:eastAsia="Noto Sans Symbols" w:hAnsi="Noto Sans Symbols" w:cs="Noto Sans Symbols"/>
      </w:rPr>
    </w:lvl>
  </w:abstractNum>
  <w:abstractNum w:abstractNumId="8" w15:restartNumberingAfterBreak="0">
    <w:nsid w:val="0BE73EA8"/>
    <w:multiLevelType w:val="multilevel"/>
    <w:tmpl w:val="DB3C12B0"/>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 w15:restartNumberingAfterBreak="0">
    <w:nsid w:val="0DA46F28"/>
    <w:multiLevelType w:val="multilevel"/>
    <w:tmpl w:val="48902B1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0" w15:restartNumberingAfterBreak="0">
    <w:nsid w:val="0F1E2094"/>
    <w:multiLevelType w:val="multilevel"/>
    <w:tmpl w:val="2FD8DBB2"/>
    <w:lvl w:ilvl="0">
      <w:start w:val="1"/>
      <w:numFmt w:val="bullet"/>
      <w:lvlText w:val="●"/>
      <w:lvlJc w:val="left"/>
      <w:pPr>
        <w:ind w:left="630" w:hanging="360"/>
      </w:pPr>
      <w:rPr>
        <w:rFonts w:ascii="Noto Sans Symbols" w:eastAsia="Noto Sans Symbols" w:hAnsi="Noto Sans Symbols" w:cs="Noto Sans Symbols"/>
      </w:rPr>
    </w:lvl>
    <w:lvl w:ilvl="1">
      <w:start w:val="1"/>
      <w:numFmt w:val="bullet"/>
      <w:lvlText w:val="o"/>
      <w:lvlJc w:val="left"/>
      <w:pPr>
        <w:ind w:left="1350" w:hanging="360"/>
      </w:pPr>
      <w:rPr>
        <w:rFonts w:ascii="Courier New" w:eastAsia="Courier New" w:hAnsi="Courier New" w:cs="Courier New"/>
      </w:rPr>
    </w:lvl>
    <w:lvl w:ilvl="2">
      <w:start w:val="1"/>
      <w:numFmt w:val="bullet"/>
      <w:lvlText w:val="▪"/>
      <w:lvlJc w:val="left"/>
      <w:pPr>
        <w:ind w:left="2070" w:hanging="360"/>
      </w:pPr>
      <w:rPr>
        <w:rFonts w:ascii="Noto Sans Symbols" w:eastAsia="Noto Sans Symbols" w:hAnsi="Noto Sans Symbols" w:cs="Noto Sans Symbols"/>
      </w:rPr>
    </w:lvl>
    <w:lvl w:ilvl="3">
      <w:start w:val="1"/>
      <w:numFmt w:val="bullet"/>
      <w:lvlText w:val="●"/>
      <w:lvlJc w:val="left"/>
      <w:pPr>
        <w:ind w:left="2790" w:hanging="360"/>
      </w:pPr>
      <w:rPr>
        <w:rFonts w:ascii="Noto Sans Symbols" w:eastAsia="Noto Sans Symbols" w:hAnsi="Noto Sans Symbols" w:cs="Noto Sans Symbols"/>
      </w:rPr>
    </w:lvl>
    <w:lvl w:ilvl="4">
      <w:start w:val="1"/>
      <w:numFmt w:val="bullet"/>
      <w:lvlText w:val="o"/>
      <w:lvlJc w:val="left"/>
      <w:pPr>
        <w:ind w:left="3510" w:hanging="360"/>
      </w:pPr>
      <w:rPr>
        <w:rFonts w:ascii="Courier New" w:eastAsia="Courier New" w:hAnsi="Courier New" w:cs="Courier New"/>
      </w:rPr>
    </w:lvl>
    <w:lvl w:ilvl="5">
      <w:start w:val="1"/>
      <w:numFmt w:val="bullet"/>
      <w:lvlText w:val="▪"/>
      <w:lvlJc w:val="left"/>
      <w:pPr>
        <w:ind w:left="4230" w:hanging="360"/>
      </w:pPr>
      <w:rPr>
        <w:rFonts w:ascii="Noto Sans Symbols" w:eastAsia="Noto Sans Symbols" w:hAnsi="Noto Sans Symbols" w:cs="Noto Sans Symbols"/>
      </w:rPr>
    </w:lvl>
    <w:lvl w:ilvl="6">
      <w:start w:val="1"/>
      <w:numFmt w:val="bullet"/>
      <w:lvlText w:val="●"/>
      <w:lvlJc w:val="left"/>
      <w:pPr>
        <w:ind w:left="4950" w:hanging="360"/>
      </w:pPr>
      <w:rPr>
        <w:rFonts w:ascii="Noto Sans Symbols" w:eastAsia="Noto Sans Symbols" w:hAnsi="Noto Sans Symbols" w:cs="Noto Sans Symbols"/>
      </w:rPr>
    </w:lvl>
    <w:lvl w:ilvl="7">
      <w:start w:val="1"/>
      <w:numFmt w:val="bullet"/>
      <w:lvlText w:val="o"/>
      <w:lvlJc w:val="left"/>
      <w:pPr>
        <w:ind w:left="5670" w:hanging="360"/>
      </w:pPr>
      <w:rPr>
        <w:rFonts w:ascii="Courier New" w:eastAsia="Courier New" w:hAnsi="Courier New" w:cs="Courier New"/>
      </w:rPr>
    </w:lvl>
    <w:lvl w:ilvl="8">
      <w:start w:val="1"/>
      <w:numFmt w:val="bullet"/>
      <w:lvlText w:val="▪"/>
      <w:lvlJc w:val="left"/>
      <w:pPr>
        <w:ind w:left="6390" w:hanging="360"/>
      </w:pPr>
      <w:rPr>
        <w:rFonts w:ascii="Noto Sans Symbols" w:eastAsia="Noto Sans Symbols" w:hAnsi="Noto Sans Symbols" w:cs="Noto Sans Symbols"/>
      </w:rPr>
    </w:lvl>
  </w:abstractNum>
  <w:abstractNum w:abstractNumId="11" w15:restartNumberingAfterBreak="0">
    <w:nsid w:val="10D01BFD"/>
    <w:multiLevelType w:val="multilevel"/>
    <w:tmpl w:val="0002A26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10EA24E3"/>
    <w:multiLevelType w:val="multilevel"/>
    <w:tmpl w:val="A768AB8E"/>
    <w:lvl w:ilvl="0">
      <w:start w:val="1"/>
      <w:numFmt w:val="bullet"/>
      <w:lvlText w:val="●"/>
      <w:lvlJc w:val="left"/>
      <w:pPr>
        <w:ind w:left="630" w:hanging="360"/>
      </w:pPr>
      <w:rPr>
        <w:rFonts w:ascii="Noto Sans Symbols" w:eastAsia="Noto Sans Symbols" w:hAnsi="Noto Sans Symbols" w:cs="Noto Sans Symbols"/>
      </w:rPr>
    </w:lvl>
    <w:lvl w:ilvl="1">
      <w:start w:val="1"/>
      <w:numFmt w:val="bullet"/>
      <w:lvlText w:val="o"/>
      <w:lvlJc w:val="left"/>
      <w:pPr>
        <w:ind w:left="1350" w:hanging="360"/>
      </w:pPr>
      <w:rPr>
        <w:rFonts w:ascii="Courier New" w:eastAsia="Courier New" w:hAnsi="Courier New" w:cs="Courier New"/>
      </w:rPr>
    </w:lvl>
    <w:lvl w:ilvl="2">
      <w:start w:val="1"/>
      <w:numFmt w:val="bullet"/>
      <w:lvlText w:val="▪"/>
      <w:lvlJc w:val="left"/>
      <w:pPr>
        <w:ind w:left="2070" w:hanging="360"/>
      </w:pPr>
      <w:rPr>
        <w:rFonts w:ascii="Noto Sans Symbols" w:eastAsia="Noto Sans Symbols" w:hAnsi="Noto Sans Symbols" w:cs="Noto Sans Symbols"/>
      </w:rPr>
    </w:lvl>
    <w:lvl w:ilvl="3">
      <w:start w:val="1"/>
      <w:numFmt w:val="bullet"/>
      <w:lvlText w:val="●"/>
      <w:lvlJc w:val="left"/>
      <w:pPr>
        <w:ind w:left="2790" w:hanging="360"/>
      </w:pPr>
      <w:rPr>
        <w:rFonts w:ascii="Noto Sans Symbols" w:eastAsia="Noto Sans Symbols" w:hAnsi="Noto Sans Symbols" w:cs="Noto Sans Symbols"/>
      </w:rPr>
    </w:lvl>
    <w:lvl w:ilvl="4">
      <w:start w:val="1"/>
      <w:numFmt w:val="bullet"/>
      <w:lvlText w:val="o"/>
      <w:lvlJc w:val="left"/>
      <w:pPr>
        <w:ind w:left="3510" w:hanging="360"/>
      </w:pPr>
      <w:rPr>
        <w:rFonts w:ascii="Courier New" w:eastAsia="Courier New" w:hAnsi="Courier New" w:cs="Courier New"/>
      </w:rPr>
    </w:lvl>
    <w:lvl w:ilvl="5">
      <w:start w:val="1"/>
      <w:numFmt w:val="bullet"/>
      <w:lvlText w:val="▪"/>
      <w:lvlJc w:val="left"/>
      <w:pPr>
        <w:ind w:left="4230" w:hanging="360"/>
      </w:pPr>
      <w:rPr>
        <w:rFonts w:ascii="Noto Sans Symbols" w:eastAsia="Noto Sans Symbols" w:hAnsi="Noto Sans Symbols" w:cs="Noto Sans Symbols"/>
      </w:rPr>
    </w:lvl>
    <w:lvl w:ilvl="6">
      <w:start w:val="1"/>
      <w:numFmt w:val="bullet"/>
      <w:lvlText w:val="●"/>
      <w:lvlJc w:val="left"/>
      <w:pPr>
        <w:ind w:left="4950" w:hanging="360"/>
      </w:pPr>
      <w:rPr>
        <w:rFonts w:ascii="Noto Sans Symbols" w:eastAsia="Noto Sans Symbols" w:hAnsi="Noto Sans Symbols" w:cs="Noto Sans Symbols"/>
      </w:rPr>
    </w:lvl>
    <w:lvl w:ilvl="7">
      <w:start w:val="1"/>
      <w:numFmt w:val="bullet"/>
      <w:lvlText w:val="o"/>
      <w:lvlJc w:val="left"/>
      <w:pPr>
        <w:ind w:left="5670" w:hanging="360"/>
      </w:pPr>
      <w:rPr>
        <w:rFonts w:ascii="Courier New" w:eastAsia="Courier New" w:hAnsi="Courier New" w:cs="Courier New"/>
      </w:rPr>
    </w:lvl>
    <w:lvl w:ilvl="8">
      <w:start w:val="1"/>
      <w:numFmt w:val="bullet"/>
      <w:lvlText w:val="▪"/>
      <w:lvlJc w:val="left"/>
      <w:pPr>
        <w:ind w:left="6390" w:hanging="360"/>
      </w:pPr>
      <w:rPr>
        <w:rFonts w:ascii="Noto Sans Symbols" w:eastAsia="Noto Sans Symbols" w:hAnsi="Noto Sans Symbols" w:cs="Noto Sans Symbols"/>
      </w:rPr>
    </w:lvl>
  </w:abstractNum>
  <w:abstractNum w:abstractNumId="13" w15:restartNumberingAfterBreak="0">
    <w:nsid w:val="120E59BE"/>
    <w:multiLevelType w:val="multilevel"/>
    <w:tmpl w:val="10EA27C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127D68B3"/>
    <w:multiLevelType w:val="multilevel"/>
    <w:tmpl w:val="CCD0E27E"/>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5" w15:restartNumberingAfterBreak="0">
    <w:nsid w:val="13641AC5"/>
    <w:multiLevelType w:val="multilevel"/>
    <w:tmpl w:val="3DA08B7C"/>
    <w:lvl w:ilvl="0">
      <w:start w:val="1"/>
      <w:numFmt w:val="decimal"/>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6" w15:restartNumberingAfterBreak="0">
    <w:nsid w:val="14E13372"/>
    <w:multiLevelType w:val="multilevel"/>
    <w:tmpl w:val="C764D184"/>
    <w:lvl w:ilvl="0">
      <w:start w:val="1"/>
      <w:numFmt w:val="bullet"/>
      <w:lvlText w:val="●"/>
      <w:lvlJc w:val="left"/>
      <w:pPr>
        <w:ind w:left="630" w:hanging="360"/>
      </w:pPr>
      <w:rPr>
        <w:rFonts w:ascii="Noto Sans Symbols" w:eastAsia="Noto Sans Symbols" w:hAnsi="Noto Sans Symbols" w:cs="Noto Sans Symbols"/>
      </w:rPr>
    </w:lvl>
    <w:lvl w:ilvl="1">
      <w:start w:val="1"/>
      <w:numFmt w:val="bullet"/>
      <w:lvlText w:val="o"/>
      <w:lvlJc w:val="left"/>
      <w:pPr>
        <w:ind w:left="1350" w:hanging="360"/>
      </w:pPr>
      <w:rPr>
        <w:rFonts w:ascii="Courier New" w:eastAsia="Courier New" w:hAnsi="Courier New" w:cs="Courier New"/>
      </w:rPr>
    </w:lvl>
    <w:lvl w:ilvl="2">
      <w:start w:val="1"/>
      <w:numFmt w:val="bullet"/>
      <w:lvlText w:val="▪"/>
      <w:lvlJc w:val="left"/>
      <w:pPr>
        <w:ind w:left="2070" w:hanging="360"/>
      </w:pPr>
      <w:rPr>
        <w:rFonts w:ascii="Noto Sans Symbols" w:eastAsia="Noto Sans Symbols" w:hAnsi="Noto Sans Symbols" w:cs="Noto Sans Symbols"/>
      </w:rPr>
    </w:lvl>
    <w:lvl w:ilvl="3">
      <w:start w:val="1"/>
      <w:numFmt w:val="bullet"/>
      <w:lvlText w:val="●"/>
      <w:lvlJc w:val="left"/>
      <w:pPr>
        <w:ind w:left="2790" w:hanging="360"/>
      </w:pPr>
      <w:rPr>
        <w:rFonts w:ascii="Noto Sans Symbols" w:eastAsia="Noto Sans Symbols" w:hAnsi="Noto Sans Symbols" w:cs="Noto Sans Symbols"/>
      </w:rPr>
    </w:lvl>
    <w:lvl w:ilvl="4">
      <w:start w:val="1"/>
      <w:numFmt w:val="bullet"/>
      <w:lvlText w:val="o"/>
      <w:lvlJc w:val="left"/>
      <w:pPr>
        <w:ind w:left="3510" w:hanging="360"/>
      </w:pPr>
      <w:rPr>
        <w:rFonts w:ascii="Courier New" w:eastAsia="Courier New" w:hAnsi="Courier New" w:cs="Courier New"/>
      </w:rPr>
    </w:lvl>
    <w:lvl w:ilvl="5">
      <w:start w:val="1"/>
      <w:numFmt w:val="bullet"/>
      <w:lvlText w:val="▪"/>
      <w:lvlJc w:val="left"/>
      <w:pPr>
        <w:ind w:left="4230" w:hanging="360"/>
      </w:pPr>
      <w:rPr>
        <w:rFonts w:ascii="Noto Sans Symbols" w:eastAsia="Noto Sans Symbols" w:hAnsi="Noto Sans Symbols" w:cs="Noto Sans Symbols"/>
      </w:rPr>
    </w:lvl>
    <w:lvl w:ilvl="6">
      <w:start w:val="1"/>
      <w:numFmt w:val="bullet"/>
      <w:lvlText w:val="●"/>
      <w:lvlJc w:val="left"/>
      <w:pPr>
        <w:ind w:left="4950" w:hanging="360"/>
      </w:pPr>
      <w:rPr>
        <w:rFonts w:ascii="Noto Sans Symbols" w:eastAsia="Noto Sans Symbols" w:hAnsi="Noto Sans Symbols" w:cs="Noto Sans Symbols"/>
      </w:rPr>
    </w:lvl>
    <w:lvl w:ilvl="7">
      <w:start w:val="1"/>
      <w:numFmt w:val="bullet"/>
      <w:lvlText w:val="o"/>
      <w:lvlJc w:val="left"/>
      <w:pPr>
        <w:ind w:left="5670" w:hanging="360"/>
      </w:pPr>
      <w:rPr>
        <w:rFonts w:ascii="Courier New" w:eastAsia="Courier New" w:hAnsi="Courier New" w:cs="Courier New"/>
      </w:rPr>
    </w:lvl>
    <w:lvl w:ilvl="8">
      <w:start w:val="1"/>
      <w:numFmt w:val="bullet"/>
      <w:lvlText w:val="▪"/>
      <w:lvlJc w:val="left"/>
      <w:pPr>
        <w:ind w:left="6390" w:hanging="360"/>
      </w:pPr>
      <w:rPr>
        <w:rFonts w:ascii="Noto Sans Symbols" w:eastAsia="Noto Sans Symbols" w:hAnsi="Noto Sans Symbols" w:cs="Noto Sans Symbols"/>
      </w:rPr>
    </w:lvl>
  </w:abstractNum>
  <w:abstractNum w:abstractNumId="17" w15:restartNumberingAfterBreak="0">
    <w:nsid w:val="14EF4982"/>
    <w:multiLevelType w:val="multilevel"/>
    <w:tmpl w:val="7CEE469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15:restartNumberingAfterBreak="0">
    <w:nsid w:val="153A068E"/>
    <w:multiLevelType w:val="multilevel"/>
    <w:tmpl w:val="5CAE1AA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16DE05E9"/>
    <w:multiLevelType w:val="multilevel"/>
    <w:tmpl w:val="CF7C6D64"/>
    <w:lvl w:ilvl="0">
      <w:start w:val="1"/>
      <w:numFmt w:val="bullet"/>
      <w:lvlText w:val="●"/>
      <w:lvlJc w:val="left"/>
      <w:pPr>
        <w:ind w:left="630" w:hanging="360"/>
      </w:pPr>
      <w:rPr>
        <w:rFonts w:ascii="Noto Sans Symbols" w:eastAsia="Noto Sans Symbols" w:hAnsi="Noto Sans Symbols" w:cs="Noto Sans Symbols"/>
      </w:rPr>
    </w:lvl>
    <w:lvl w:ilvl="1">
      <w:start w:val="1"/>
      <w:numFmt w:val="bullet"/>
      <w:lvlText w:val="o"/>
      <w:lvlJc w:val="left"/>
      <w:pPr>
        <w:ind w:left="1350" w:hanging="360"/>
      </w:pPr>
      <w:rPr>
        <w:rFonts w:ascii="Courier New" w:eastAsia="Courier New" w:hAnsi="Courier New" w:cs="Courier New"/>
      </w:rPr>
    </w:lvl>
    <w:lvl w:ilvl="2">
      <w:start w:val="1"/>
      <w:numFmt w:val="bullet"/>
      <w:lvlText w:val="▪"/>
      <w:lvlJc w:val="left"/>
      <w:pPr>
        <w:ind w:left="2070" w:hanging="360"/>
      </w:pPr>
      <w:rPr>
        <w:rFonts w:ascii="Noto Sans Symbols" w:eastAsia="Noto Sans Symbols" w:hAnsi="Noto Sans Symbols" w:cs="Noto Sans Symbols"/>
      </w:rPr>
    </w:lvl>
    <w:lvl w:ilvl="3">
      <w:start w:val="1"/>
      <w:numFmt w:val="bullet"/>
      <w:lvlText w:val="●"/>
      <w:lvlJc w:val="left"/>
      <w:pPr>
        <w:ind w:left="2790" w:hanging="360"/>
      </w:pPr>
      <w:rPr>
        <w:rFonts w:ascii="Noto Sans Symbols" w:eastAsia="Noto Sans Symbols" w:hAnsi="Noto Sans Symbols" w:cs="Noto Sans Symbols"/>
      </w:rPr>
    </w:lvl>
    <w:lvl w:ilvl="4">
      <w:start w:val="1"/>
      <w:numFmt w:val="bullet"/>
      <w:lvlText w:val="o"/>
      <w:lvlJc w:val="left"/>
      <w:pPr>
        <w:ind w:left="3510" w:hanging="360"/>
      </w:pPr>
      <w:rPr>
        <w:rFonts w:ascii="Courier New" w:eastAsia="Courier New" w:hAnsi="Courier New" w:cs="Courier New"/>
      </w:rPr>
    </w:lvl>
    <w:lvl w:ilvl="5">
      <w:start w:val="1"/>
      <w:numFmt w:val="bullet"/>
      <w:lvlText w:val="▪"/>
      <w:lvlJc w:val="left"/>
      <w:pPr>
        <w:ind w:left="4230" w:hanging="360"/>
      </w:pPr>
      <w:rPr>
        <w:rFonts w:ascii="Noto Sans Symbols" w:eastAsia="Noto Sans Symbols" w:hAnsi="Noto Sans Symbols" w:cs="Noto Sans Symbols"/>
      </w:rPr>
    </w:lvl>
    <w:lvl w:ilvl="6">
      <w:start w:val="1"/>
      <w:numFmt w:val="bullet"/>
      <w:lvlText w:val="●"/>
      <w:lvlJc w:val="left"/>
      <w:pPr>
        <w:ind w:left="4950" w:hanging="360"/>
      </w:pPr>
      <w:rPr>
        <w:rFonts w:ascii="Noto Sans Symbols" w:eastAsia="Noto Sans Symbols" w:hAnsi="Noto Sans Symbols" w:cs="Noto Sans Symbols"/>
      </w:rPr>
    </w:lvl>
    <w:lvl w:ilvl="7">
      <w:start w:val="1"/>
      <w:numFmt w:val="bullet"/>
      <w:lvlText w:val="o"/>
      <w:lvlJc w:val="left"/>
      <w:pPr>
        <w:ind w:left="5670" w:hanging="360"/>
      </w:pPr>
      <w:rPr>
        <w:rFonts w:ascii="Courier New" w:eastAsia="Courier New" w:hAnsi="Courier New" w:cs="Courier New"/>
      </w:rPr>
    </w:lvl>
    <w:lvl w:ilvl="8">
      <w:start w:val="1"/>
      <w:numFmt w:val="bullet"/>
      <w:lvlText w:val="▪"/>
      <w:lvlJc w:val="left"/>
      <w:pPr>
        <w:ind w:left="6390" w:hanging="360"/>
      </w:pPr>
      <w:rPr>
        <w:rFonts w:ascii="Noto Sans Symbols" w:eastAsia="Noto Sans Symbols" w:hAnsi="Noto Sans Symbols" w:cs="Noto Sans Symbols"/>
      </w:rPr>
    </w:lvl>
  </w:abstractNum>
  <w:abstractNum w:abstractNumId="20" w15:restartNumberingAfterBreak="0">
    <w:nsid w:val="183D1007"/>
    <w:multiLevelType w:val="multilevel"/>
    <w:tmpl w:val="31CE113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18F241FA"/>
    <w:multiLevelType w:val="multilevel"/>
    <w:tmpl w:val="997476E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19092ECC"/>
    <w:multiLevelType w:val="multilevel"/>
    <w:tmpl w:val="06902F8A"/>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23" w15:restartNumberingAfterBreak="0">
    <w:nsid w:val="1AFE28FA"/>
    <w:multiLevelType w:val="multilevel"/>
    <w:tmpl w:val="593CCC0C"/>
    <w:lvl w:ilvl="0">
      <w:start w:val="1"/>
      <w:numFmt w:val="upp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4" w15:restartNumberingAfterBreak="0">
    <w:nsid w:val="1D1D195A"/>
    <w:multiLevelType w:val="multilevel"/>
    <w:tmpl w:val="8E6EA38A"/>
    <w:lvl w:ilvl="0">
      <w:start w:val="1"/>
      <w:numFmt w:val="bullet"/>
      <w:lvlText w:val="●"/>
      <w:lvlJc w:val="left"/>
      <w:pPr>
        <w:ind w:left="630" w:hanging="360"/>
      </w:pPr>
      <w:rPr>
        <w:rFonts w:ascii="Noto Sans Symbols" w:eastAsia="Noto Sans Symbols" w:hAnsi="Noto Sans Symbols" w:cs="Noto Sans Symbols"/>
      </w:rPr>
    </w:lvl>
    <w:lvl w:ilvl="1">
      <w:start w:val="1"/>
      <w:numFmt w:val="bullet"/>
      <w:lvlText w:val="o"/>
      <w:lvlJc w:val="left"/>
      <w:pPr>
        <w:ind w:left="1350" w:hanging="360"/>
      </w:pPr>
      <w:rPr>
        <w:rFonts w:ascii="Courier New" w:eastAsia="Courier New" w:hAnsi="Courier New" w:cs="Courier New"/>
      </w:rPr>
    </w:lvl>
    <w:lvl w:ilvl="2">
      <w:start w:val="1"/>
      <w:numFmt w:val="bullet"/>
      <w:lvlText w:val="▪"/>
      <w:lvlJc w:val="left"/>
      <w:pPr>
        <w:ind w:left="2070" w:hanging="360"/>
      </w:pPr>
      <w:rPr>
        <w:rFonts w:ascii="Noto Sans Symbols" w:eastAsia="Noto Sans Symbols" w:hAnsi="Noto Sans Symbols" w:cs="Noto Sans Symbols"/>
      </w:rPr>
    </w:lvl>
    <w:lvl w:ilvl="3">
      <w:start w:val="1"/>
      <w:numFmt w:val="bullet"/>
      <w:lvlText w:val="●"/>
      <w:lvlJc w:val="left"/>
      <w:pPr>
        <w:ind w:left="2790" w:hanging="360"/>
      </w:pPr>
      <w:rPr>
        <w:rFonts w:ascii="Noto Sans Symbols" w:eastAsia="Noto Sans Symbols" w:hAnsi="Noto Sans Symbols" w:cs="Noto Sans Symbols"/>
      </w:rPr>
    </w:lvl>
    <w:lvl w:ilvl="4">
      <w:start w:val="1"/>
      <w:numFmt w:val="bullet"/>
      <w:lvlText w:val="o"/>
      <w:lvlJc w:val="left"/>
      <w:pPr>
        <w:ind w:left="3510" w:hanging="360"/>
      </w:pPr>
      <w:rPr>
        <w:rFonts w:ascii="Courier New" w:eastAsia="Courier New" w:hAnsi="Courier New" w:cs="Courier New"/>
      </w:rPr>
    </w:lvl>
    <w:lvl w:ilvl="5">
      <w:start w:val="1"/>
      <w:numFmt w:val="bullet"/>
      <w:lvlText w:val="▪"/>
      <w:lvlJc w:val="left"/>
      <w:pPr>
        <w:ind w:left="4230" w:hanging="360"/>
      </w:pPr>
      <w:rPr>
        <w:rFonts w:ascii="Noto Sans Symbols" w:eastAsia="Noto Sans Symbols" w:hAnsi="Noto Sans Symbols" w:cs="Noto Sans Symbols"/>
      </w:rPr>
    </w:lvl>
    <w:lvl w:ilvl="6">
      <w:start w:val="1"/>
      <w:numFmt w:val="bullet"/>
      <w:lvlText w:val="●"/>
      <w:lvlJc w:val="left"/>
      <w:pPr>
        <w:ind w:left="4950" w:hanging="360"/>
      </w:pPr>
      <w:rPr>
        <w:rFonts w:ascii="Noto Sans Symbols" w:eastAsia="Noto Sans Symbols" w:hAnsi="Noto Sans Symbols" w:cs="Noto Sans Symbols"/>
      </w:rPr>
    </w:lvl>
    <w:lvl w:ilvl="7">
      <w:start w:val="1"/>
      <w:numFmt w:val="bullet"/>
      <w:lvlText w:val="o"/>
      <w:lvlJc w:val="left"/>
      <w:pPr>
        <w:ind w:left="5670" w:hanging="360"/>
      </w:pPr>
      <w:rPr>
        <w:rFonts w:ascii="Courier New" w:eastAsia="Courier New" w:hAnsi="Courier New" w:cs="Courier New"/>
      </w:rPr>
    </w:lvl>
    <w:lvl w:ilvl="8">
      <w:start w:val="1"/>
      <w:numFmt w:val="bullet"/>
      <w:lvlText w:val="▪"/>
      <w:lvlJc w:val="left"/>
      <w:pPr>
        <w:ind w:left="6390" w:hanging="360"/>
      </w:pPr>
      <w:rPr>
        <w:rFonts w:ascii="Noto Sans Symbols" w:eastAsia="Noto Sans Symbols" w:hAnsi="Noto Sans Symbols" w:cs="Noto Sans Symbols"/>
      </w:rPr>
    </w:lvl>
  </w:abstractNum>
  <w:abstractNum w:abstractNumId="25" w15:restartNumberingAfterBreak="0">
    <w:nsid w:val="1DB028B2"/>
    <w:multiLevelType w:val="multilevel"/>
    <w:tmpl w:val="EF9843E4"/>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6" w15:restartNumberingAfterBreak="0">
    <w:nsid w:val="1E9F7EA4"/>
    <w:multiLevelType w:val="multilevel"/>
    <w:tmpl w:val="3C7CACD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202A11BA"/>
    <w:multiLevelType w:val="multilevel"/>
    <w:tmpl w:val="5F387722"/>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28" w15:restartNumberingAfterBreak="0">
    <w:nsid w:val="233E44F2"/>
    <w:multiLevelType w:val="multilevel"/>
    <w:tmpl w:val="6536273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15:restartNumberingAfterBreak="0">
    <w:nsid w:val="23D421F0"/>
    <w:multiLevelType w:val="multilevel"/>
    <w:tmpl w:val="591ABB44"/>
    <w:lvl w:ilvl="0">
      <w:start w:val="1"/>
      <w:numFmt w:val="upp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0" w15:restartNumberingAfterBreak="0">
    <w:nsid w:val="2668170E"/>
    <w:multiLevelType w:val="multilevel"/>
    <w:tmpl w:val="4E14B2E8"/>
    <w:lvl w:ilvl="0">
      <w:start w:val="1"/>
      <w:numFmt w:val="bullet"/>
      <w:lvlText w:val="●"/>
      <w:lvlJc w:val="left"/>
      <w:pPr>
        <w:ind w:left="630" w:hanging="360"/>
      </w:pPr>
      <w:rPr>
        <w:rFonts w:ascii="Noto Sans Symbols" w:eastAsia="Noto Sans Symbols" w:hAnsi="Noto Sans Symbols" w:cs="Noto Sans Symbols"/>
      </w:rPr>
    </w:lvl>
    <w:lvl w:ilvl="1">
      <w:start w:val="1"/>
      <w:numFmt w:val="bullet"/>
      <w:lvlText w:val="o"/>
      <w:lvlJc w:val="left"/>
      <w:pPr>
        <w:ind w:left="1350" w:hanging="360"/>
      </w:pPr>
      <w:rPr>
        <w:rFonts w:ascii="Courier New" w:eastAsia="Courier New" w:hAnsi="Courier New" w:cs="Courier New"/>
      </w:rPr>
    </w:lvl>
    <w:lvl w:ilvl="2">
      <w:start w:val="1"/>
      <w:numFmt w:val="bullet"/>
      <w:lvlText w:val="▪"/>
      <w:lvlJc w:val="left"/>
      <w:pPr>
        <w:ind w:left="2070" w:hanging="360"/>
      </w:pPr>
      <w:rPr>
        <w:rFonts w:ascii="Noto Sans Symbols" w:eastAsia="Noto Sans Symbols" w:hAnsi="Noto Sans Symbols" w:cs="Noto Sans Symbols"/>
      </w:rPr>
    </w:lvl>
    <w:lvl w:ilvl="3">
      <w:start w:val="1"/>
      <w:numFmt w:val="bullet"/>
      <w:lvlText w:val="●"/>
      <w:lvlJc w:val="left"/>
      <w:pPr>
        <w:ind w:left="2790" w:hanging="360"/>
      </w:pPr>
      <w:rPr>
        <w:rFonts w:ascii="Noto Sans Symbols" w:eastAsia="Noto Sans Symbols" w:hAnsi="Noto Sans Symbols" w:cs="Noto Sans Symbols"/>
      </w:rPr>
    </w:lvl>
    <w:lvl w:ilvl="4">
      <w:start w:val="1"/>
      <w:numFmt w:val="bullet"/>
      <w:lvlText w:val="o"/>
      <w:lvlJc w:val="left"/>
      <w:pPr>
        <w:ind w:left="3510" w:hanging="360"/>
      </w:pPr>
      <w:rPr>
        <w:rFonts w:ascii="Courier New" w:eastAsia="Courier New" w:hAnsi="Courier New" w:cs="Courier New"/>
      </w:rPr>
    </w:lvl>
    <w:lvl w:ilvl="5">
      <w:start w:val="1"/>
      <w:numFmt w:val="bullet"/>
      <w:lvlText w:val="▪"/>
      <w:lvlJc w:val="left"/>
      <w:pPr>
        <w:ind w:left="4230" w:hanging="360"/>
      </w:pPr>
      <w:rPr>
        <w:rFonts w:ascii="Noto Sans Symbols" w:eastAsia="Noto Sans Symbols" w:hAnsi="Noto Sans Symbols" w:cs="Noto Sans Symbols"/>
      </w:rPr>
    </w:lvl>
    <w:lvl w:ilvl="6">
      <w:start w:val="1"/>
      <w:numFmt w:val="bullet"/>
      <w:lvlText w:val="●"/>
      <w:lvlJc w:val="left"/>
      <w:pPr>
        <w:ind w:left="4950" w:hanging="360"/>
      </w:pPr>
      <w:rPr>
        <w:rFonts w:ascii="Noto Sans Symbols" w:eastAsia="Noto Sans Symbols" w:hAnsi="Noto Sans Symbols" w:cs="Noto Sans Symbols"/>
      </w:rPr>
    </w:lvl>
    <w:lvl w:ilvl="7">
      <w:start w:val="1"/>
      <w:numFmt w:val="bullet"/>
      <w:lvlText w:val="o"/>
      <w:lvlJc w:val="left"/>
      <w:pPr>
        <w:ind w:left="5670" w:hanging="360"/>
      </w:pPr>
      <w:rPr>
        <w:rFonts w:ascii="Courier New" w:eastAsia="Courier New" w:hAnsi="Courier New" w:cs="Courier New"/>
      </w:rPr>
    </w:lvl>
    <w:lvl w:ilvl="8">
      <w:start w:val="1"/>
      <w:numFmt w:val="bullet"/>
      <w:lvlText w:val="▪"/>
      <w:lvlJc w:val="left"/>
      <w:pPr>
        <w:ind w:left="6390" w:hanging="360"/>
      </w:pPr>
      <w:rPr>
        <w:rFonts w:ascii="Noto Sans Symbols" w:eastAsia="Noto Sans Symbols" w:hAnsi="Noto Sans Symbols" w:cs="Noto Sans Symbols"/>
      </w:rPr>
    </w:lvl>
  </w:abstractNum>
  <w:abstractNum w:abstractNumId="31" w15:restartNumberingAfterBreak="0">
    <w:nsid w:val="26FE1066"/>
    <w:multiLevelType w:val="multilevel"/>
    <w:tmpl w:val="841A71D2"/>
    <w:lvl w:ilvl="0">
      <w:start w:val="1"/>
      <w:numFmt w:val="bullet"/>
      <w:lvlText w:val="●"/>
      <w:lvlJc w:val="left"/>
      <w:pPr>
        <w:ind w:left="630" w:hanging="360"/>
      </w:pPr>
      <w:rPr>
        <w:rFonts w:ascii="Noto Sans Symbols" w:eastAsia="Noto Sans Symbols" w:hAnsi="Noto Sans Symbols" w:cs="Noto Sans Symbols"/>
      </w:rPr>
    </w:lvl>
    <w:lvl w:ilvl="1">
      <w:start w:val="1"/>
      <w:numFmt w:val="bullet"/>
      <w:lvlText w:val="o"/>
      <w:lvlJc w:val="left"/>
      <w:pPr>
        <w:ind w:left="1350" w:hanging="360"/>
      </w:pPr>
      <w:rPr>
        <w:rFonts w:ascii="Courier New" w:eastAsia="Courier New" w:hAnsi="Courier New" w:cs="Courier New"/>
      </w:rPr>
    </w:lvl>
    <w:lvl w:ilvl="2">
      <w:start w:val="1"/>
      <w:numFmt w:val="bullet"/>
      <w:lvlText w:val="▪"/>
      <w:lvlJc w:val="left"/>
      <w:pPr>
        <w:ind w:left="2070" w:hanging="360"/>
      </w:pPr>
      <w:rPr>
        <w:rFonts w:ascii="Noto Sans Symbols" w:eastAsia="Noto Sans Symbols" w:hAnsi="Noto Sans Symbols" w:cs="Noto Sans Symbols"/>
      </w:rPr>
    </w:lvl>
    <w:lvl w:ilvl="3">
      <w:start w:val="1"/>
      <w:numFmt w:val="bullet"/>
      <w:lvlText w:val="●"/>
      <w:lvlJc w:val="left"/>
      <w:pPr>
        <w:ind w:left="2790" w:hanging="360"/>
      </w:pPr>
      <w:rPr>
        <w:rFonts w:ascii="Noto Sans Symbols" w:eastAsia="Noto Sans Symbols" w:hAnsi="Noto Sans Symbols" w:cs="Noto Sans Symbols"/>
      </w:rPr>
    </w:lvl>
    <w:lvl w:ilvl="4">
      <w:start w:val="1"/>
      <w:numFmt w:val="bullet"/>
      <w:lvlText w:val="o"/>
      <w:lvlJc w:val="left"/>
      <w:pPr>
        <w:ind w:left="3510" w:hanging="360"/>
      </w:pPr>
      <w:rPr>
        <w:rFonts w:ascii="Courier New" w:eastAsia="Courier New" w:hAnsi="Courier New" w:cs="Courier New"/>
      </w:rPr>
    </w:lvl>
    <w:lvl w:ilvl="5">
      <w:start w:val="1"/>
      <w:numFmt w:val="bullet"/>
      <w:lvlText w:val="▪"/>
      <w:lvlJc w:val="left"/>
      <w:pPr>
        <w:ind w:left="4230" w:hanging="360"/>
      </w:pPr>
      <w:rPr>
        <w:rFonts w:ascii="Noto Sans Symbols" w:eastAsia="Noto Sans Symbols" w:hAnsi="Noto Sans Symbols" w:cs="Noto Sans Symbols"/>
      </w:rPr>
    </w:lvl>
    <w:lvl w:ilvl="6">
      <w:start w:val="1"/>
      <w:numFmt w:val="bullet"/>
      <w:lvlText w:val="●"/>
      <w:lvlJc w:val="left"/>
      <w:pPr>
        <w:ind w:left="4950" w:hanging="360"/>
      </w:pPr>
      <w:rPr>
        <w:rFonts w:ascii="Noto Sans Symbols" w:eastAsia="Noto Sans Symbols" w:hAnsi="Noto Sans Symbols" w:cs="Noto Sans Symbols"/>
      </w:rPr>
    </w:lvl>
    <w:lvl w:ilvl="7">
      <w:start w:val="1"/>
      <w:numFmt w:val="bullet"/>
      <w:lvlText w:val="o"/>
      <w:lvlJc w:val="left"/>
      <w:pPr>
        <w:ind w:left="5670" w:hanging="360"/>
      </w:pPr>
      <w:rPr>
        <w:rFonts w:ascii="Courier New" w:eastAsia="Courier New" w:hAnsi="Courier New" w:cs="Courier New"/>
      </w:rPr>
    </w:lvl>
    <w:lvl w:ilvl="8">
      <w:start w:val="1"/>
      <w:numFmt w:val="bullet"/>
      <w:lvlText w:val="▪"/>
      <w:lvlJc w:val="left"/>
      <w:pPr>
        <w:ind w:left="6390" w:hanging="360"/>
      </w:pPr>
      <w:rPr>
        <w:rFonts w:ascii="Noto Sans Symbols" w:eastAsia="Noto Sans Symbols" w:hAnsi="Noto Sans Symbols" w:cs="Noto Sans Symbols"/>
      </w:rPr>
    </w:lvl>
  </w:abstractNum>
  <w:abstractNum w:abstractNumId="32" w15:restartNumberingAfterBreak="0">
    <w:nsid w:val="27192C4B"/>
    <w:multiLevelType w:val="multilevel"/>
    <w:tmpl w:val="D9029E7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3" w15:restartNumberingAfterBreak="0">
    <w:nsid w:val="2B7730AA"/>
    <w:multiLevelType w:val="multilevel"/>
    <w:tmpl w:val="721AE7D8"/>
    <w:lvl w:ilvl="0">
      <w:start w:val="1"/>
      <w:numFmt w:val="upp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4" w15:restartNumberingAfterBreak="0">
    <w:nsid w:val="2C600744"/>
    <w:multiLevelType w:val="multilevel"/>
    <w:tmpl w:val="BE2C313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5" w15:restartNumberingAfterBreak="0">
    <w:nsid w:val="2D0C699C"/>
    <w:multiLevelType w:val="multilevel"/>
    <w:tmpl w:val="AF90A560"/>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36" w15:restartNumberingAfterBreak="0">
    <w:nsid w:val="2DAC6A27"/>
    <w:multiLevelType w:val="multilevel"/>
    <w:tmpl w:val="504E3E6C"/>
    <w:lvl w:ilvl="0">
      <w:start w:val="1"/>
      <w:numFmt w:val="bullet"/>
      <w:lvlText w:val="●"/>
      <w:lvlJc w:val="left"/>
      <w:pPr>
        <w:ind w:left="630" w:hanging="360"/>
      </w:pPr>
      <w:rPr>
        <w:rFonts w:ascii="Noto Sans Symbols" w:eastAsia="Noto Sans Symbols" w:hAnsi="Noto Sans Symbols" w:cs="Noto Sans Symbols"/>
      </w:rPr>
    </w:lvl>
    <w:lvl w:ilvl="1">
      <w:start w:val="1"/>
      <w:numFmt w:val="bullet"/>
      <w:lvlText w:val="o"/>
      <w:lvlJc w:val="left"/>
      <w:pPr>
        <w:ind w:left="1350" w:hanging="360"/>
      </w:pPr>
      <w:rPr>
        <w:rFonts w:ascii="Courier New" w:eastAsia="Courier New" w:hAnsi="Courier New" w:cs="Courier New"/>
      </w:rPr>
    </w:lvl>
    <w:lvl w:ilvl="2">
      <w:start w:val="1"/>
      <w:numFmt w:val="bullet"/>
      <w:lvlText w:val="▪"/>
      <w:lvlJc w:val="left"/>
      <w:pPr>
        <w:ind w:left="2070" w:hanging="360"/>
      </w:pPr>
      <w:rPr>
        <w:rFonts w:ascii="Noto Sans Symbols" w:eastAsia="Noto Sans Symbols" w:hAnsi="Noto Sans Symbols" w:cs="Noto Sans Symbols"/>
      </w:rPr>
    </w:lvl>
    <w:lvl w:ilvl="3">
      <w:start w:val="1"/>
      <w:numFmt w:val="bullet"/>
      <w:lvlText w:val="●"/>
      <w:lvlJc w:val="left"/>
      <w:pPr>
        <w:ind w:left="2790" w:hanging="360"/>
      </w:pPr>
      <w:rPr>
        <w:rFonts w:ascii="Noto Sans Symbols" w:eastAsia="Noto Sans Symbols" w:hAnsi="Noto Sans Symbols" w:cs="Noto Sans Symbols"/>
      </w:rPr>
    </w:lvl>
    <w:lvl w:ilvl="4">
      <w:start w:val="1"/>
      <w:numFmt w:val="bullet"/>
      <w:lvlText w:val="o"/>
      <w:lvlJc w:val="left"/>
      <w:pPr>
        <w:ind w:left="3510" w:hanging="360"/>
      </w:pPr>
      <w:rPr>
        <w:rFonts w:ascii="Courier New" w:eastAsia="Courier New" w:hAnsi="Courier New" w:cs="Courier New"/>
      </w:rPr>
    </w:lvl>
    <w:lvl w:ilvl="5">
      <w:start w:val="1"/>
      <w:numFmt w:val="bullet"/>
      <w:lvlText w:val="▪"/>
      <w:lvlJc w:val="left"/>
      <w:pPr>
        <w:ind w:left="4230" w:hanging="360"/>
      </w:pPr>
      <w:rPr>
        <w:rFonts w:ascii="Noto Sans Symbols" w:eastAsia="Noto Sans Symbols" w:hAnsi="Noto Sans Symbols" w:cs="Noto Sans Symbols"/>
      </w:rPr>
    </w:lvl>
    <w:lvl w:ilvl="6">
      <w:start w:val="1"/>
      <w:numFmt w:val="bullet"/>
      <w:lvlText w:val="●"/>
      <w:lvlJc w:val="left"/>
      <w:pPr>
        <w:ind w:left="4950" w:hanging="360"/>
      </w:pPr>
      <w:rPr>
        <w:rFonts w:ascii="Noto Sans Symbols" w:eastAsia="Noto Sans Symbols" w:hAnsi="Noto Sans Symbols" w:cs="Noto Sans Symbols"/>
      </w:rPr>
    </w:lvl>
    <w:lvl w:ilvl="7">
      <w:start w:val="1"/>
      <w:numFmt w:val="bullet"/>
      <w:lvlText w:val="o"/>
      <w:lvlJc w:val="left"/>
      <w:pPr>
        <w:ind w:left="5670" w:hanging="360"/>
      </w:pPr>
      <w:rPr>
        <w:rFonts w:ascii="Courier New" w:eastAsia="Courier New" w:hAnsi="Courier New" w:cs="Courier New"/>
      </w:rPr>
    </w:lvl>
    <w:lvl w:ilvl="8">
      <w:start w:val="1"/>
      <w:numFmt w:val="bullet"/>
      <w:lvlText w:val="▪"/>
      <w:lvlJc w:val="left"/>
      <w:pPr>
        <w:ind w:left="6390" w:hanging="360"/>
      </w:pPr>
      <w:rPr>
        <w:rFonts w:ascii="Noto Sans Symbols" w:eastAsia="Noto Sans Symbols" w:hAnsi="Noto Sans Symbols" w:cs="Noto Sans Symbols"/>
      </w:rPr>
    </w:lvl>
  </w:abstractNum>
  <w:abstractNum w:abstractNumId="37" w15:restartNumberingAfterBreak="0">
    <w:nsid w:val="2DAD75DD"/>
    <w:multiLevelType w:val="multilevel"/>
    <w:tmpl w:val="BFA8437E"/>
    <w:lvl w:ilvl="0">
      <w:start w:val="1"/>
      <w:numFmt w:val="bullet"/>
      <w:lvlText w:val="●"/>
      <w:lvlJc w:val="left"/>
      <w:pPr>
        <w:ind w:left="630" w:hanging="360"/>
      </w:pPr>
      <w:rPr>
        <w:rFonts w:ascii="Noto Sans Symbols" w:eastAsia="Noto Sans Symbols" w:hAnsi="Noto Sans Symbols" w:cs="Noto Sans Symbols"/>
      </w:rPr>
    </w:lvl>
    <w:lvl w:ilvl="1">
      <w:start w:val="1"/>
      <w:numFmt w:val="bullet"/>
      <w:lvlText w:val="o"/>
      <w:lvlJc w:val="left"/>
      <w:pPr>
        <w:ind w:left="1350" w:hanging="360"/>
      </w:pPr>
      <w:rPr>
        <w:rFonts w:ascii="Courier New" w:eastAsia="Courier New" w:hAnsi="Courier New" w:cs="Courier New"/>
      </w:rPr>
    </w:lvl>
    <w:lvl w:ilvl="2">
      <w:start w:val="1"/>
      <w:numFmt w:val="bullet"/>
      <w:lvlText w:val="▪"/>
      <w:lvlJc w:val="left"/>
      <w:pPr>
        <w:ind w:left="2070" w:hanging="360"/>
      </w:pPr>
      <w:rPr>
        <w:rFonts w:ascii="Noto Sans Symbols" w:eastAsia="Noto Sans Symbols" w:hAnsi="Noto Sans Symbols" w:cs="Noto Sans Symbols"/>
      </w:rPr>
    </w:lvl>
    <w:lvl w:ilvl="3">
      <w:start w:val="1"/>
      <w:numFmt w:val="bullet"/>
      <w:lvlText w:val="●"/>
      <w:lvlJc w:val="left"/>
      <w:pPr>
        <w:ind w:left="2790" w:hanging="360"/>
      </w:pPr>
      <w:rPr>
        <w:rFonts w:ascii="Noto Sans Symbols" w:eastAsia="Noto Sans Symbols" w:hAnsi="Noto Sans Symbols" w:cs="Noto Sans Symbols"/>
      </w:rPr>
    </w:lvl>
    <w:lvl w:ilvl="4">
      <w:start w:val="1"/>
      <w:numFmt w:val="bullet"/>
      <w:lvlText w:val="o"/>
      <w:lvlJc w:val="left"/>
      <w:pPr>
        <w:ind w:left="3510" w:hanging="360"/>
      </w:pPr>
      <w:rPr>
        <w:rFonts w:ascii="Courier New" w:eastAsia="Courier New" w:hAnsi="Courier New" w:cs="Courier New"/>
      </w:rPr>
    </w:lvl>
    <w:lvl w:ilvl="5">
      <w:start w:val="1"/>
      <w:numFmt w:val="bullet"/>
      <w:lvlText w:val="▪"/>
      <w:lvlJc w:val="left"/>
      <w:pPr>
        <w:ind w:left="4230" w:hanging="360"/>
      </w:pPr>
      <w:rPr>
        <w:rFonts w:ascii="Noto Sans Symbols" w:eastAsia="Noto Sans Symbols" w:hAnsi="Noto Sans Symbols" w:cs="Noto Sans Symbols"/>
      </w:rPr>
    </w:lvl>
    <w:lvl w:ilvl="6">
      <w:start w:val="1"/>
      <w:numFmt w:val="bullet"/>
      <w:lvlText w:val="●"/>
      <w:lvlJc w:val="left"/>
      <w:pPr>
        <w:ind w:left="4950" w:hanging="360"/>
      </w:pPr>
      <w:rPr>
        <w:rFonts w:ascii="Noto Sans Symbols" w:eastAsia="Noto Sans Symbols" w:hAnsi="Noto Sans Symbols" w:cs="Noto Sans Symbols"/>
      </w:rPr>
    </w:lvl>
    <w:lvl w:ilvl="7">
      <w:start w:val="1"/>
      <w:numFmt w:val="bullet"/>
      <w:lvlText w:val="o"/>
      <w:lvlJc w:val="left"/>
      <w:pPr>
        <w:ind w:left="5670" w:hanging="360"/>
      </w:pPr>
      <w:rPr>
        <w:rFonts w:ascii="Courier New" w:eastAsia="Courier New" w:hAnsi="Courier New" w:cs="Courier New"/>
      </w:rPr>
    </w:lvl>
    <w:lvl w:ilvl="8">
      <w:start w:val="1"/>
      <w:numFmt w:val="bullet"/>
      <w:lvlText w:val="▪"/>
      <w:lvlJc w:val="left"/>
      <w:pPr>
        <w:ind w:left="6390" w:hanging="360"/>
      </w:pPr>
      <w:rPr>
        <w:rFonts w:ascii="Noto Sans Symbols" w:eastAsia="Noto Sans Symbols" w:hAnsi="Noto Sans Symbols" w:cs="Noto Sans Symbols"/>
      </w:rPr>
    </w:lvl>
  </w:abstractNum>
  <w:abstractNum w:abstractNumId="38" w15:restartNumberingAfterBreak="0">
    <w:nsid w:val="2DC404C3"/>
    <w:multiLevelType w:val="multilevel"/>
    <w:tmpl w:val="9B8A733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9" w15:restartNumberingAfterBreak="0">
    <w:nsid w:val="2EE671A0"/>
    <w:multiLevelType w:val="multilevel"/>
    <w:tmpl w:val="9B4E93C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0" w15:restartNumberingAfterBreak="0">
    <w:nsid w:val="348B68EE"/>
    <w:multiLevelType w:val="multilevel"/>
    <w:tmpl w:val="6F2C5A5A"/>
    <w:lvl w:ilvl="0">
      <w:start w:val="1"/>
      <w:numFmt w:val="decimal"/>
      <w:lvlText w:val="%1."/>
      <w:lvlJc w:val="left"/>
      <w:pPr>
        <w:ind w:left="780" w:hanging="360"/>
      </w:pPr>
      <w:rPr>
        <w:vertAlign w:val="baseline"/>
      </w:rPr>
    </w:lvl>
    <w:lvl w:ilvl="1">
      <w:start w:val="1"/>
      <w:numFmt w:val="lowerLetter"/>
      <w:lvlText w:val="%2."/>
      <w:lvlJc w:val="left"/>
      <w:pPr>
        <w:ind w:left="1500" w:hanging="360"/>
      </w:pPr>
      <w:rPr>
        <w:vertAlign w:val="baseline"/>
      </w:rPr>
    </w:lvl>
    <w:lvl w:ilvl="2">
      <w:start w:val="1"/>
      <w:numFmt w:val="lowerRoman"/>
      <w:lvlText w:val="%3."/>
      <w:lvlJc w:val="right"/>
      <w:pPr>
        <w:ind w:left="2220" w:hanging="180"/>
      </w:pPr>
      <w:rPr>
        <w:vertAlign w:val="baseline"/>
      </w:rPr>
    </w:lvl>
    <w:lvl w:ilvl="3">
      <w:start w:val="1"/>
      <w:numFmt w:val="decimal"/>
      <w:lvlText w:val="%4."/>
      <w:lvlJc w:val="left"/>
      <w:pPr>
        <w:ind w:left="2940" w:hanging="360"/>
      </w:pPr>
      <w:rPr>
        <w:vertAlign w:val="baseline"/>
      </w:rPr>
    </w:lvl>
    <w:lvl w:ilvl="4">
      <w:start w:val="1"/>
      <w:numFmt w:val="lowerLetter"/>
      <w:lvlText w:val="%5."/>
      <w:lvlJc w:val="left"/>
      <w:pPr>
        <w:ind w:left="3660" w:hanging="360"/>
      </w:pPr>
      <w:rPr>
        <w:vertAlign w:val="baseline"/>
      </w:rPr>
    </w:lvl>
    <w:lvl w:ilvl="5">
      <w:start w:val="1"/>
      <w:numFmt w:val="lowerRoman"/>
      <w:lvlText w:val="%6."/>
      <w:lvlJc w:val="right"/>
      <w:pPr>
        <w:ind w:left="4380" w:hanging="180"/>
      </w:pPr>
      <w:rPr>
        <w:vertAlign w:val="baseline"/>
      </w:rPr>
    </w:lvl>
    <w:lvl w:ilvl="6">
      <w:start w:val="1"/>
      <w:numFmt w:val="decimal"/>
      <w:lvlText w:val="%7."/>
      <w:lvlJc w:val="left"/>
      <w:pPr>
        <w:ind w:left="5100" w:hanging="360"/>
      </w:pPr>
      <w:rPr>
        <w:vertAlign w:val="baseline"/>
      </w:rPr>
    </w:lvl>
    <w:lvl w:ilvl="7">
      <w:start w:val="1"/>
      <w:numFmt w:val="lowerLetter"/>
      <w:lvlText w:val="%8."/>
      <w:lvlJc w:val="left"/>
      <w:pPr>
        <w:ind w:left="5820" w:hanging="360"/>
      </w:pPr>
      <w:rPr>
        <w:vertAlign w:val="baseline"/>
      </w:rPr>
    </w:lvl>
    <w:lvl w:ilvl="8">
      <w:start w:val="1"/>
      <w:numFmt w:val="lowerRoman"/>
      <w:lvlText w:val="%9."/>
      <w:lvlJc w:val="right"/>
      <w:pPr>
        <w:ind w:left="6540" w:hanging="180"/>
      </w:pPr>
      <w:rPr>
        <w:vertAlign w:val="baseline"/>
      </w:rPr>
    </w:lvl>
  </w:abstractNum>
  <w:abstractNum w:abstractNumId="41" w15:restartNumberingAfterBreak="0">
    <w:nsid w:val="3510671D"/>
    <w:multiLevelType w:val="multilevel"/>
    <w:tmpl w:val="3B301E66"/>
    <w:lvl w:ilvl="0">
      <w:start w:val="1"/>
      <w:numFmt w:val="bullet"/>
      <w:lvlText w:val="●"/>
      <w:lvlJc w:val="left"/>
      <w:pPr>
        <w:ind w:left="630" w:hanging="360"/>
      </w:pPr>
      <w:rPr>
        <w:rFonts w:ascii="Noto Sans Symbols" w:eastAsia="Noto Sans Symbols" w:hAnsi="Noto Sans Symbols" w:cs="Noto Sans Symbols"/>
      </w:rPr>
    </w:lvl>
    <w:lvl w:ilvl="1">
      <w:start w:val="1"/>
      <w:numFmt w:val="bullet"/>
      <w:lvlText w:val="o"/>
      <w:lvlJc w:val="left"/>
      <w:pPr>
        <w:ind w:left="1350" w:hanging="360"/>
      </w:pPr>
      <w:rPr>
        <w:rFonts w:ascii="Courier New" w:eastAsia="Courier New" w:hAnsi="Courier New" w:cs="Courier New"/>
      </w:rPr>
    </w:lvl>
    <w:lvl w:ilvl="2">
      <w:start w:val="1"/>
      <w:numFmt w:val="bullet"/>
      <w:lvlText w:val="▪"/>
      <w:lvlJc w:val="left"/>
      <w:pPr>
        <w:ind w:left="2070" w:hanging="360"/>
      </w:pPr>
      <w:rPr>
        <w:rFonts w:ascii="Noto Sans Symbols" w:eastAsia="Noto Sans Symbols" w:hAnsi="Noto Sans Symbols" w:cs="Noto Sans Symbols"/>
      </w:rPr>
    </w:lvl>
    <w:lvl w:ilvl="3">
      <w:start w:val="1"/>
      <w:numFmt w:val="bullet"/>
      <w:lvlText w:val="●"/>
      <w:lvlJc w:val="left"/>
      <w:pPr>
        <w:ind w:left="2790" w:hanging="360"/>
      </w:pPr>
      <w:rPr>
        <w:rFonts w:ascii="Noto Sans Symbols" w:eastAsia="Noto Sans Symbols" w:hAnsi="Noto Sans Symbols" w:cs="Noto Sans Symbols"/>
      </w:rPr>
    </w:lvl>
    <w:lvl w:ilvl="4">
      <w:start w:val="1"/>
      <w:numFmt w:val="bullet"/>
      <w:lvlText w:val="o"/>
      <w:lvlJc w:val="left"/>
      <w:pPr>
        <w:ind w:left="3510" w:hanging="360"/>
      </w:pPr>
      <w:rPr>
        <w:rFonts w:ascii="Courier New" w:eastAsia="Courier New" w:hAnsi="Courier New" w:cs="Courier New"/>
      </w:rPr>
    </w:lvl>
    <w:lvl w:ilvl="5">
      <w:start w:val="1"/>
      <w:numFmt w:val="bullet"/>
      <w:lvlText w:val="▪"/>
      <w:lvlJc w:val="left"/>
      <w:pPr>
        <w:ind w:left="4230" w:hanging="360"/>
      </w:pPr>
      <w:rPr>
        <w:rFonts w:ascii="Noto Sans Symbols" w:eastAsia="Noto Sans Symbols" w:hAnsi="Noto Sans Symbols" w:cs="Noto Sans Symbols"/>
      </w:rPr>
    </w:lvl>
    <w:lvl w:ilvl="6">
      <w:start w:val="1"/>
      <w:numFmt w:val="bullet"/>
      <w:lvlText w:val="●"/>
      <w:lvlJc w:val="left"/>
      <w:pPr>
        <w:ind w:left="4950" w:hanging="360"/>
      </w:pPr>
      <w:rPr>
        <w:rFonts w:ascii="Noto Sans Symbols" w:eastAsia="Noto Sans Symbols" w:hAnsi="Noto Sans Symbols" w:cs="Noto Sans Symbols"/>
      </w:rPr>
    </w:lvl>
    <w:lvl w:ilvl="7">
      <w:start w:val="1"/>
      <w:numFmt w:val="bullet"/>
      <w:lvlText w:val="o"/>
      <w:lvlJc w:val="left"/>
      <w:pPr>
        <w:ind w:left="5670" w:hanging="360"/>
      </w:pPr>
      <w:rPr>
        <w:rFonts w:ascii="Courier New" w:eastAsia="Courier New" w:hAnsi="Courier New" w:cs="Courier New"/>
      </w:rPr>
    </w:lvl>
    <w:lvl w:ilvl="8">
      <w:start w:val="1"/>
      <w:numFmt w:val="bullet"/>
      <w:lvlText w:val="▪"/>
      <w:lvlJc w:val="left"/>
      <w:pPr>
        <w:ind w:left="6390" w:hanging="360"/>
      </w:pPr>
      <w:rPr>
        <w:rFonts w:ascii="Noto Sans Symbols" w:eastAsia="Noto Sans Symbols" w:hAnsi="Noto Sans Symbols" w:cs="Noto Sans Symbols"/>
      </w:rPr>
    </w:lvl>
  </w:abstractNum>
  <w:abstractNum w:abstractNumId="42" w15:restartNumberingAfterBreak="0">
    <w:nsid w:val="37E57B7B"/>
    <w:multiLevelType w:val="multilevel"/>
    <w:tmpl w:val="EBF8139C"/>
    <w:lvl w:ilvl="0">
      <w:start w:val="1"/>
      <w:numFmt w:val="bullet"/>
      <w:lvlText w:val="●"/>
      <w:lvlJc w:val="left"/>
      <w:pPr>
        <w:ind w:left="630" w:hanging="360"/>
      </w:pPr>
      <w:rPr>
        <w:rFonts w:ascii="Noto Sans Symbols" w:eastAsia="Noto Sans Symbols" w:hAnsi="Noto Sans Symbols" w:cs="Noto Sans Symbols"/>
      </w:rPr>
    </w:lvl>
    <w:lvl w:ilvl="1">
      <w:start w:val="1"/>
      <w:numFmt w:val="bullet"/>
      <w:lvlText w:val="o"/>
      <w:lvlJc w:val="left"/>
      <w:pPr>
        <w:ind w:left="1350" w:hanging="360"/>
      </w:pPr>
      <w:rPr>
        <w:rFonts w:ascii="Courier New" w:eastAsia="Courier New" w:hAnsi="Courier New" w:cs="Courier New"/>
      </w:rPr>
    </w:lvl>
    <w:lvl w:ilvl="2">
      <w:start w:val="1"/>
      <w:numFmt w:val="bullet"/>
      <w:lvlText w:val="▪"/>
      <w:lvlJc w:val="left"/>
      <w:pPr>
        <w:ind w:left="2070" w:hanging="360"/>
      </w:pPr>
      <w:rPr>
        <w:rFonts w:ascii="Noto Sans Symbols" w:eastAsia="Noto Sans Symbols" w:hAnsi="Noto Sans Symbols" w:cs="Noto Sans Symbols"/>
      </w:rPr>
    </w:lvl>
    <w:lvl w:ilvl="3">
      <w:start w:val="1"/>
      <w:numFmt w:val="bullet"/>
      <w:lvlText w:val="●"/>
      <w:lvlJc w:val="left"/>
      <w:pPr>
        <w:ind w:left="2790" w:hanging="360"/>
      </w:pPr>
      <w:rPr>
        <w:rFonts w:ascii="Noto Sans Symbols" w:eastAsia="Noto Sans Symbols" w:hAnsi="Noto Sans Symbols" w:cs="Noto Sans Symbols"/>
      </w:rPr>
    </w:lvl>
    <w:lvl w:ilvl="4">
      <w:start w:val="1"/>
      <w:numFmt w:val="bullet"/>
      <w:lvlText w:val="o"/>
      <w:lvlJc w:val="left"/>
      <w:pPr>
        <w:ind w:left="3510" w:hanging="360"/>
      </w:pPr>
      <w:rPr>
        <w:rFonts w:ascii="Courier New" w:eastAsia="Courier New" w:hAnsi="Courier New" w:cs="Courier New"/>
      </w:rPr>
    </w:lvl>
    <w:lvl w:ilvl="5">
      <w:start w:val="1"/>
      <w:numFmt w:val="bullet"/>
      <w:lvlText w:val="▪"/>
      <w:lvlJc w:val="left"/>
      <w:pPr>
        <w:ind w:left="4230" w:hanging="360"/>
      </w:pPr>
      <w:rPr>
        <w:rFonts w:ascii="Noto Sans Symbols" w:eastAsia="Noto Sans Symbols" w:hAnsi="Noto Sans Symbols" w:cs="Noto Sans Symbols"/>
      </w:rPr>
    </w:lvl>
    <w:lvl w:ilvl="6">
      <w:start w:val="1"/>
      <w:numFmt w:val="bullet"/>
      <w:lvlText w:val="●"/>
      <w:lvlJc w:val="left"/>
      <w:pPr>
        <w:ind w:left="4950" w:hanging="360"/>
      </w:pPr>
      <w:rPr>
        <w:rFonts w:ascii="Noto Sans Symbols" w:eastAsia="Noto Sans Symbols" w:hAnsi="Noto Sans Symbols" w:cs="Noto Sans Symbols"/>
      </w:rPr>
    </w:lvl>
    <w:lvl w:ilvl="7">
      <w:start w:val="1"/>
      <w:numFmt w:val="bullet"/>
      <w:lvlText w:val="o"/>
      <w:lvlJc w:val="left"/>
      <w:pPr>
        <w:ind w:left="5670" w:hanging="360"/>
      </w:pPr>
      <w:rPr>
        <w:rFonts w:ascii="Courier New" w:eastAsia="Courier New" w:hAnsi="Courier New" w:cs="Courier New"/>
      </w:rPr>
    </w:lvl>
    <w:lvl w:ilvl="8">
      <w:start w:val="1"/>
      <w:numFmt w:val="bullet"/>
      <w:lvlText w:val="▪"/>
      <w:lvlJc w:val="left"/>
      <w:pPr>
        <w:ind w:left="6390" w:hanging="360"/>
      </w:pPr>
      <w:rPr>
        <w:rFonts w:ascii="Noto Sans Symbols" w:eastAsia="Noto Sans Symbols" w:hAnsi="Noto Sans Symbols" w:cs="Noto Sans Symbols"/>
      </w:rPr>
    </w:lvl>
  </w:abstractNum>
  <w:abstractNum w:abstractNumId="43" w15:restartNumberingAfterBreak="0">
    <w:nsid w:val="39827C95"/>
    <w:multiLevelType w:val="multilevel"/>
    <w:tmpl w:val="774870F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4" w15:restartNumberingAfterBreak="0">
    <w:nsid w:val="39A9418D"/>
    <w:multiLevelType w:val="multilevel"/>
    <w:tmpl w:val="E8186666"/>
    <w:lvl w:ilvl="0">
      <w:start w:val="1"/>
      <w:numFmt w:val="upp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5" w15:restartNumberingAfterBreak="0">
    <w:nsid w:val="3ACC52FB"/>
    <w:multiLevelType w:val="multilevel"/>
    <w:tmpl w:val="4AF2884A"/>
    <w:lvl w:ilvl="0">
      <w:start w:val="1"/>
      <w:numFmt w:val="upp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6" w15:restartNumberingAfterBreak="0">
    <w:nsid w:val="3D9128FE"/>
    <w:multiLevelType w:val="multilevel"/>
    <w:tmpl w:val="9F1ECA54"/>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7" w15:restartNumberingAfterBreak="0">
    <w:nsid w:val="3D970BF7"/>
    <w:multiLevelType w:val="multilevel"/>
    <w:tmpl w:val="4C2C915C"/>
    <w:lvl w:ilvl="0">
      <w:start w:val="1"/>
      <w:numFmt w:val="upp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8" w15:restartNumberingAfterBreak="0">
    <w:nsid w:val="3DC86ED0"/>
    <w:multiLevelType w:val="multilevel"/>
    <w:tmpl w:val="EC2048AC"/>
    <w:lvl w:ilvl="0">
      <w:start w:val="1"/>
      <w:numFmt w:val="bullet"/>
      <w:lvlText w:val="●"/>
      <w:lvlJc w:val="left"/>
      <w:pPr>
        <w:ind w:left="630" w:hanging="360"/>
      </w:pPr>
      <w:rPr>
        <w:rFonts w:ascii="Noto Sans Symbols" w:eastAsia="Noto Sans Symbols" w:hAnsi="Noto Sans Symbols" w:cs="Noto Sans Symbols"/>
      </w:rPr>
    </w:lvl>
    <w:lvl w:ilvl="1">
      <w:start w:val="1"/>
      <w:numFmt w:val="bullet"/>
      <w:lvlText w:val="o"/>
      <w:lvlJc w:val="left"/>
      <w:pPr>
        <w:ind w:left="1350" w:hanging="360"/>
      </w:pPr>
      <w:rPr>
        <w:rFonts w:ascii="Courier New" w:eastAsia="Courier New" w:hAnsi="Courier New" w:cs="Courier New"/>
      </w:rPr>
    </w:lvl>
    <w:lvl w:ilvl="2">
      <w:start w:val="1"/>
      <w:numFmt w:val="bullet"/>
      <w:lvlText w:val="▪"/>
      <w:lvlJc w:val="left"/>
      <w:pPr>
        <w:ind w:left="2070" w:hanging="360"/>
      </w:pPr>
      <w:rPr>
        <w:rFonts w:ascii="Noto Sans Symbols" w:eastAsia="Noto Sans Symbols" w:hAnsi="Noto Sans Symbols" w:cs="Noto Sans Symbols"/>
      </w:rPr>
    </w:lvl>
    <w:lvl w:ilvl="3">
      <w:start w:val="1"/>
      <w:numFmt w:val="bullet"/>
      <w:lvlText w:val="●"/>
      <w:lvlJc w:val="left"/>
      <w:pPr>
        <w:ind w:left="2790" w:hanging="360"/>
      </w:pPr>
      <w:rPr>
        <w:rFonts w:ascii="Noto Sans Symbols" w:eastAsia="Noto Sans Symbols" w:hAnsi="Noto Sans Symbols" w:cs="Noto Sans Symbols"/>
      </w:rPr>
    </w:lvl>
    <w:lvl w:ilvl="4">
      <w:start w:val="1"/>
      <w:numFmt w:val="bullet"/>
      <w:lvlText w:val="o"/>
      <w:lvlJc w:val="left"/>
      <w:pPr>
        <w:ind w:left="3510" w:hanging="360"/>
      </w:pPr>
      <w:rPr>
        <w:rFonts w:ascii="Courier New" w:eastAsia="Courier New" w:hAnsi="Courier New" w:cs="Courier New"/>
      </w:rPr>
    </w:lvl>
    <w:lvl w:ilvl="5">
      <w:start w:val="1"/>
      <w:numFmt w:val="bullet"/>
      <w:lvlText w:val="▪"/>
      <w:lvlJc w:val="left"/>
      <w:pPr>
        <w:ind w:left="4230" w:hanging="360"/>
      </w:pPr>
      <w:rPr>
        <w:rFonts w:ascii="Noto Sans Symbols" w:eastAsia="Noto Sans Symbols" w:hAnsi="Noto Sans Symbols" w:cs="Noto Sans Symbols"/>
      </w:rPr>
    </w:lvl>
    <w:lvl w:ilvl="6">
      <w:start w:val="1"/>
      <w:numFmt w:val="bullet"/>
      <w:lvlText w:val="●"/>
      <w:lvlJc w:val="left"/>
      <w:pPr>
        <w:ind w:left="4950" w:hanging="360"/>
      </w:pPr>
      <w:rPr>
        <w:rFonts w:ascii="Noto Sans Symbols" w:eastAsia="Noto Sans Symbols" w:hAnsi="Noto Sans Symbols" w:cs="Noto Sans Symbols"/>
      </w:rPr>
    </w:lvl>
    <w:lvl w:ilvl="7">
      <w:start w:val="1"/>
      <w:numFmt w:val="bullet"/>
      <w:lvlText w:val="o"/>
      <w:lvlJc w:val="left"/>
      <w:pPr>
        <w:ind w:left="5670" w:hanging="360"/>
      </w:pPr>
      <w:rPr>
        <w:rFonts w:ascii="Courier New" w:eastAsia="Courier New" w:hAnsi="Courier New" w:cs="Courier New"/>
      </w:rPr>
    </w:lvl>
    <w:lvl w:ilvl="8">
      <w:start w:val="1"/>
      <w:numFmt w:val="bullet"/>
      <w:lvlText w:val="▪"/>
      <w:lvlJc w:val="left"/>
      <w:pPr>
        <w:ind w:left="6390" w:hanging="360"/>
      </w:pPr>
      <w:rPr>
        <w:rFonts w:ascii="Noto Sans Symbols" w:eastAsia="Noto Sans Symbols" w:hAnsi="Noto Sans Symbols" w:cs="Noto Sans Symbols"/>
      </w:rPr>
    </w:lvl>
  </w:abstractNum>
  <w:abstractNum w:abstractNumId="49" w15:restartNumberingAfterBreak="0">
    <w:nsid w:val="41825E1C"/>
    <w:multiLevelType w:val="hybridMultilevel"/>
    <w:tmpl w:val="310AB4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42A57371"/>
    <w:multiLevelType w:val="multilevel"/>
    <w:tmpl w:val="0124389C"/>
    <w:lvl w:ilvl="0">
      <w:start w:val="1"/>
      <w:numFmt w:val="bullet"/>
      <w:lvlText w:val="●"/>
      <w:lvlJc w:val="left"/>
      <w:pPr>
        <w:ind w:left="630" w:hanging="360"/>
      </w:pPr>
      <w:rPr>
        <w:rFonts w:ascii="Noto Sans Symbols" w:eastAsia="Noto Sans Symbols" w:hAnsi="Noto Sans Symbols" w:cs="Noto Sans Symbols"/>
      </w:rPr>
    </w:lvl>
    <w:lvl w:ilvl="1">
      <w:start w:val="1"/>
      <w:numFmt w:val="bullet"/>
      <w:lvlText w:val="o"/>
      <w:lvlJc w:val="left"/>
      <w:pPr>
        <w:ind w:left="1350" w:hanging="360"/>
      </w:pPr>
      <w:rPr>
        <w:rFonts w:ascii="Courier New" w:eastAsia="Courier New" w:hAnsi="Courier New" w:cs="Courier New"/>
      </w:rPr>
    </w:lvl>
    <w:lvl w:ilvl="2">
      <w:start w:val="1"/>
      <w:numFmt w:val="bullet"/>
      <w:lvlText w:val="▪"/>
      <w:lvlJc w:val="left"/>
      <w:pPr>
        <w:ind w:left="2070" w:hanging="360"/>
      </w:pPr>
      <w:rPr>
        <w:rFonts w:ascii="Noto Sans Symbols" w:eastAsia="Noto Sans Symbols" w:hAnsi="Noto Sans Symbols" w:cs="Noto Sans Symbols"/>
      </w:rPr>
    </w:lvl>
    <w:lvl w:ilvl="3">
      <w:start w:val="1"/>
      <w:numFmt w:val="bullet"/>
      <w:lvlText w:val="●"/>
      <w:lvlJc w:val="left"/>
      <w:pPr>
        <w:ind w:left="2790" w:hanging="360"/>
      </w:pPr>
      <w:rPr>
        <w:rFonts w:ascii="Noto Sans Symbols" w:eastAsia="Noto Sans Symbols" w:hAnsi="Noto Sans Symbols" w:cs="Noto Sans Symbols"/>
      </w:rPr>
    </w:lvl>
    <w:lvl w:ilvl="4">
      <w:start w:val="1"/>
      <w:numFmt w:val="bullet"/>
      <w:lvlText w:val="o"/>
      <w:lvlJc w:val="left"/>
      <w:pPr>
        <w:ind w:left="3510" w:hanging="360"/>
      </w:pPr>
      <w:rPr>
        <w:rFonts w:ascii="Courier New" w:eastAsia="Courier New" w:hAnsi="Courier New" w:cs="Courier New"/>
      </w:rPr>
    </w:lvl>
    <w:lvl w:ilvl="5">
      <w:start w:val="1"/>
      <w:numFmt w:val="bullet"/>
      <w:lvlText w:val="▪"/>
      <w:lvlJc w:val="left"/>
      <w:pPr>
        <w:ind w:left="4230" w:hanging="360"/>
      </w:pPr>
      <w:rPr>
        <w:rFonts w:ascii="Noto Sans Symbols" w:eastAsia="Noto Sans Symbols" w:hAnsi="Noto Sans Symbols" w:cs="Noto Sans Symbols"/>
      </w:rPr>
    </w:lvl>
    <w:lvl w:ilvl="6">
      <w:start w:val="1"/>
      <w:numFmt w:val="bullet"/>
      <w:lvlText w:val="●"/>
      <w:lvlJc w:val="left"/>
      <w:pPr>
        <w:ind w:left="4950" w:hanging="360"/>
      </w:pPr>
      <w:rPr>
        <w:rFonts w:ascii="Noto Sans Symbols" w:eastAsia="Noto Sans Symbols" w:hAnsi="Noto Sans Symbols" w:cs="Noto Sans Symbols"/>
      </w:rPr>
    </w:lvl>
    <w:lvl w:ilvl="7">
      <w:start w:val="1"/>
      <w:numFmt w:val="bullet"/>
      <w:lvlText w:val="o"/>
      <w:lvlJc w:val="left"/>
      <w:pPr>
        <w:ind w:left="5670" w:hanging="360"/>
      </w:pPr>
      <w:rPr>
        <w:rFonts w:ascii="Courier New" w:eastAsia="Courier New" w:hAnsi="Courier New" w:cs="Courier New"/>
      </w:rPr>
    </w:lvl>
    <w:lvl w:ilvl="8">
      <w:start w:val="1"/>
      <w:numFmt w:val="bullet"/>
      <w:lvlText w:val="▪"/>
      <w:lvlJc w:val="left"/>
      <w:pPr>
        <w:ind w:left="6390" w:hanging="360"/>
      </w:pPr>
      <w:rPr>
        <w:rFonts w:ascii="Noto Sans Symbols" w:eastAsia="Noto Sans Symbols" w:hAnsi="Noto Sans Symbols" w:cs="Noto Sans Symbols"/>
      </w:rPr>
    </w:lvl>
  </w:abstractNum>
  <w:abstractNum w:abstractNumId="51" w15:restartNumberingAfterBreak="0">
    <w:nsid w:val="4312470C"/>
    <w:multiLevelType w:val="multilevel"/>
    <w:tmpl w:val="CF5812C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2" w15:restartNumberingAfterBreak="0">
    <w:nsid w:val="44DA1A6C"/>
    <w:multiLevelType w:val="multilevel"/>
    <w:tmpl w:val="9B464092"/>
    <w:lvl w:ilvl="0">
      <w:start w:val="1"/>
      <w:numFmt w:val="bullet"/>
      <w:lvlText w:val="•"/>
      <w:lvlJc w:val="left"/>
      <w:pPr>
        <w:ind w:left="720" w:hanging="36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53" w15:restartNumberingAfterBreak="0">
    <w:nsid w:val="45EB7F23"/>
    <w:multiLevelType w:val="multilevel"/>
    <w:tmpl w:val="70EEEFB2"/>
    <w:lvl w:ilvl="0">
      <w:start w:val="1"/>
      <w:numFmt w:val="lowerLetter"/>
      <w:lvlText w:val="%1."/>
      <w:lvlJc w:val="left"/>
      <w:pPr>
        <w:ind w:left="720" w:hanging="360"/>
      </w:pPr>
      <w:rPr>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54" w15:restartNumberingAfterBreak="0">
    <w:nsid w:val="46E758E7"/>
    <w:multiLevelType w:val="multilevel"/>
    <w:tmpl w:val="97A2AEC6"/>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5" w15:restartNumberingAfterBreak="0">
    <w:nsid w:val="48523080"/>
    <w:multiLevelType w:val="multilevel"/>
    <w:tmpl w:val="AC223B1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56" w15:restartNumberingAfterBreak="0">
    <w:nsid w:val="487573F8"/>
    <w:multiLevelType w:val="multilevel"/>
    <w:tmpl w:val="94D66EB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7" w15:restartNumberingAfterBreak="0">
    <w:nsid w:val="4B454A1A"/>
    <w:multiLevelType w:val="multilevel"/>
    <w:tmpl w:val="371C9954"/>
    <w:lvl w:ilvl="0">
      <w:start w:val="1"/>
      <w:numFmt w:val="bullet"/>
      <w:lvlText w:val="●"/>
      <w:lvlJc w:val="left"/>
      <w:pPr>
        <w:ind w:left="630" w:hanging="360"/>
      </w:pPr>
      <w:rPr>
        <w:rFonts w:ascii="Noto Sans Symbols" w:eastAsia="Noto Sans Symbols" w:hAnsi="Noto Sans Symbols" w:cs="Noto Sans Symbols"/>
      </w:rPr>
    </w:lvl>
    <w:lvl w:ilvl="1">
      <w:start w:val="1"/>
      <w:numFmt w:val="bullet"/>
      <w:lvlText w:val="o"/>
      <w:lvlJc w:val="left"/>
      <w:pPr>
        <w:ind w:left="1350" w:hanging="360"/>
      </w:pPr>
      <w:rPr>
        <w:rFonts w:ascii="Courier New" w:eastAsia="Courier New" w:hAnsi="Courier New" w:cs="Courier New"/>
      </w:rPr>
    </w:lvl>
    <w:lvl w:ilvl="2">
      <w:start w:val="1"/>
      <w:numFmt w:val="bullet"/>
      <w:lvlText w:val="▪"/>
      <w:lvlJc w:val="left"/>
      <w:pPr>
        <w:ind w:left="2070" w:hanging="360"/>
      </w:pPr>
      <w:rPr>
        <w:rFonts w:ascii="Noto Sans Symbols" w:eastAsia="Noto Sans Symbols" w:hAnsi="Noto Sans Symbols" w:cs="Noto Sans Symbols"/>
      </w:rPr>
    </w:lvl>
    <w:lvl w:ilvl="3">
      <w:start w:val="1"/>
      <w:numFmt w:val="bullet"/>
      <w:lvlText w:val="●"/>
      <w:lvlJc w:val="left"/>
      <w:pPr>
        <w:ind w:left="2790" w:hanging="360"/>
      </w:pPr>
      <w:rPr>
        <w:rFonts w:ascii="Noto Sans Symbols" w:eastAsia="Noto Sans Symbols" w:hAnsi="Noto Sans Symbols" w:cs="Noto Sans Symbols"/>
      </w:rPr>
    </w:lvl>
    <w:lvl w:ilvl="4">
      <w:start w:val="1"/>
      <w:numFmt w:val="bullet"/>
      <w:lvlText w:val="o"/>
      <w:lvlJc w:val="left"/>
      <w:pPr>
        <w:ind w:left="3510" w:hanging="360"/>
      </w:pPr>
      <w:rPr>
        <w:rFonts w:ascii="Courier New" w:eastAsia="Courier New" w:hAnsi="Courier New" w:cs="Courier New"/>
      </w:rPr>
    </w:lvl>
    <w:lvl w:ilvl="5">
      <w:start w:val="1"/>
      <w:numFmt w:val="bullet"/>
      <w:lvlText w:val="▪"/>
      <w:lvlJc w:val="left"/>
      <w:pPr>
        <w:ind w:left="4230" w:hanging="360"/>
      </w:pPr>
      <w:rPr>
        <w:rFonts w:ascii="Noto Sans Symbols" w:eastAsia="Noto Sans Symbols" w:hAnsi="Noto Sans Symbols" w:cs="Noto Sans Symbols"/>
      </w:rPr>
    </w:lvl>
    <w:lvl w:ilvl="6">
      <w:start w:val="1"/>
      <w:numFmt w:val="bullet"/>
      <w:lvlText w:val="●"/>
      <w:lvlJc w:val="left"/>
      <w:pPr>
        <w:ind w:left="4950" w:hanging="360"/>
      </w:pPr>
      <w:rPr>
        <w:rFonts w:ascii="Noto Sans Symbols" w:eastAsia="Noto Sans Symbols" w:hAnsi="Noto Sans Symbols" w:cs="Noto Sans Symbols"/>
      </w:rPr>
    </w:lvl>
    <w:lvl w:ilvl="7">
      <w:start w:val="1"/>
      <w:numFmt w:val="bullet"/>
      <w:lvlText w:val="o"/>
      <w:lvlJc w:val="left"/>
      <w:pPr>
        <w:ind w:left="5670" w:hanging="360"/>
      </w:pPr>
      <w:rPr>
        <w:rFonts w:ascii="Courier New" w:eastAsia="Courier New" w:hAnsi="Courier New" w:cs="Courier New"/>
      </w:rPr>
    </w:lvl>
    <w:lvl w:ilvl="8">
      <w:start w:val="1"/>
      <w:numFmt w:val="bullet"/>
      <w:lvlText w:val="▪"/>
      <w:lvlJc w:val="left"/>
      <w:pPr>
        <w:ind w:left="6390" w:hanging="360"/>
      </w:pPr>
      <w:rPr>
        <w:rFonts w:ascii="Noto Sans Symbols" w:eastAsia="Noto Sans Symbols" w:hAnsi="Noto Sans Symbols" w:cs="Noto Sans Symbols"/>
      </w:rPr>
    </w:lvl>
  </w:abstractNum>
  <w:abstractNum w:abstractNumId="58" w15:restartNumberingAfterBreak="0">
    <w:nsid w:val="4CA178B0"/>
    <w:multiLevelType w:val="multilevel"/>
    <w:tmpl w:val="723CF25C"/>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9" w15:restartNumberingAfterBreak="0">
    <w:nsid w:val="50D01264"/>
    <w:multiLevelType w:val="multilevel"/>
    <w:tmpl w:val="75500630"/>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60" w15:restartNumberingAfterBreak="0">
    <w:nsid w:val="51A85164"/>
    <w:multiLevelType w:val="multilevel"/>
    <w:tmpl w:val="516C0748"/>
    <w:lvl w:ilvl="0">
      <w:start w:val="1"/>
      <w:numFmt w:val="bullet"/>
      <w:lvlText w:val="●"/>
      <w:lvlJc w:val="left"/>
      <w:pPr>
        <w:ind w:left="630" w:hanging="360"/>
      </w:pPr>
      <w:rPr>
        <w:rFonts w:ascii="Noto Sans Symbols" w:eastAsia="Noto Sans Symbols" w:hAnsi="Noto Sans Symbols" w:cs="Noto Sans Symbols"/>
      </w:rPr>
    </w:lvl>
    <w:lvl w:ilvl="1">
      <w:start w:val="1"/>
      <w:numFmt w:val="bullet"/>
      <w:lvlText w:val="o"/>
      <w:lvlJc w:val="left"/>
      <w:pPr>
        <w:ind w:left="1350" w:hanging="360"/>
      </w:pPr>
      <w:rPr>
        <w:rFonts w:ascii="Courier New" w:eastAsia="Courier New" w:hAnsi="Courier New" w:cs="Courier New"/>
      </w:rPr>
    </w:lvl>
    <w:lvl w:ilvl="2">
      <w:start w:val="1"/>
      <w:numFmt w:val="bullet"/>
      <w:lvlText w:val="▪"/>
      <w:lvlJc w:val="left"/>
      <w:pPr>
        <w:ind w:left="2070" w:hanging="360"/>
      </w:pPr>
      <w:rPr>
        <w:rFonts w:ascii="Noto Sans Symbols" w:eastAsia="Noto Sans Symbols" w:hAnsi="Noto Sans Symbols" w:cs="Noto Sans Symbols"/>
      </w:rPr>
    </w:lvl>
    <w:lvl w:ilvl="3">
      <w:start w:val="1"/>
      <w:numFmt w:val="bullet"/>
      <w:lvlText w:val="●"/>
      <w:lvlJc w:val="left"/>
      <w:pPr>
        <w:ind w:left="2790" w:hanging="360"/>
      </w:pPr>
      <w:rPr>
        <w:rFonts w:ascii="Noto Sans Symbols" w:eastAsia="Noto Sans Symbols" w:hAnsi="Noto Sans Symbols" w:cs="Noto Sans Symbols"/>
      </w:rPr>
    </w:lvl>
    <w:lvl w:ilvl="4">
      <w:start w:val="1"/>
      <w:numFmt w:val="bullet"/>
      <w:lvlText w:val="o"/>
      <w:lvlJc w:val="left"/>
      <w:pPr>
        <w:ind w:left="3510" w:hanging="360"/>
      </w:pPr>
      <w:rPr>
        <w:rFonts w:ascii="Courier New" w:eastAsia="Courier New" w:hAnsi="Courier New" w:cs="Courier New"/>
      </w:rPr>
    </w:lvl>
    <w:lvl w:ilvl="5">
      <w:start w:val="1"/>
      <w:numFmt w:val="bullet"/>
      <w:lvlText w:val="▪"/>
      <w:lvlJc w:val="left"/>
      <w:pPr>
        <w:ind w:left="4230" w:hanging="360"/>
      </w:pPr>
      <w:rPr>
        <w:rFonts w:ascii="Noto Sans Symbols" w:eastAsia="Noto Sans Symbols" w:hAnsi="Noto Sans Symbols" w:cs="Noto Sans Symbols"/>
      </w:rPr>
    </w:lvl>
    <w:lvl w:ilvl="6">
      <w:start w:val="1"/>
      <w:numFmt w:val="bullet"/>
      <w:lvlText w:val="●"/>
      <w:lvlJc w:val="left"/>
      <w:pPr>
        <w:ind w:left="4950" w:hanging="360"/>
      </w:pPr>
      <w:rPr>
        <w:rFonts w:ascii="Noto Sans Symbols" w:eastAsia="Noto Sans Symbols" w:hAnsi="Noto Sans Symbols" w:cs="Noto Sans Symbols"/>
      </w:rPr>
    </w:lvl>
    <w:lvl w:ilvl="7">
      <w:start w:val="1"/>
      <w:numFmt w:val="bullet"/>
      <w:lvlText w:val="o"/>
      <w:lvlJc w:val="left"/>
      <w:pPr>
        <w:ind w:left="5670" w:hanging="360"/>
      </w:pPr>
      <w:rPr>
        <w:rFonts w:ascii="Courier New" w:eastAsia="Courier New" w:hAnsi="Courier New" w:cs="Courier New"/>
      </w:rPr>
    </w:lvl>
    <w:lvl w:ilvl="8">
      <w:start w:val="1"/>
      <w:numFmt w:val="bullet"/>
      <w:lvlText w:val="▪"/>
      <w:lvlJc w:val="left"/>
      <w:pPr>
        <w:ind w:left="6390" w:hanging="360"/>
      </w:pPr>
      <w:rPr>
        <w:rFonts w:ascii="Noto Sans Symbols" w:eastAsia="Noto Sans Symbols" w:hAnsi="Noto Sans Symbols" w:cs="Noto Sans Symbols"/>
      </w:rPr>
    </w:lvl>
  </w:abstractNum>
  <w:abstractNum w:abstractNumId="61" w15:restartNumberingAfterBreak="0">
    <w:nsid w:val="52234F34"/>
    <w:multiLevelType w:val="multilevel"/>
    <w:tmpl w:val="AAD2DF92"/>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2" w15:restartNumberingAfterBreak="0">
    <w:nsid w:val="524311E2"/>
    <w:multiLevelType w:val="multilevel"/>
    <w:tmpl w:val="977A89FE"/>
    <w:lvl w:ilvl="0">
      <w:start w:val="1"/>
      <w:numFmt w:val="bullet"/>
      <w:lvlText w:val="●"/>
      <w:lvlJc w:val="left"/>
      <w:pPr>
        <w:ind w:left="630" w:hanging="360"/>
      </w:pPr>
      <w:rPr>
        <w:rFonts w:ascii="Noto Sans Symbols" w:eastAsia="Noto Sans Symbols" w:hAnsi="Noto Sans Symbols" w:cs="Noto Sans Symbols"/>
      </w:rPr>
    </w:lvl>
    <w:lvl w:ilvl="1">
      <w:start w:val="1"/>
      <w:numFmt w:val="bullet"/>
      <w:lvlText w:val="o"/>
      <w:lvlJc w:val="left"/>
      <w:pPr>
        <w:ind w:left="1350" w:hanging="360"/>
      </w:pPr>
      <w:rPr>
        <w:rFonts w:ascii="Courier New" w:eastAsia="Courier New" w:hAnsi="Courier New" w:cs="Courier New"/>
      </w:rPr>
    </w:lvl>
    <w:lvl w:ilvl="2">
      <w:start w:val="1"/>
      <w:numFmt w:val="bullet"/>
      <w:lvlText w:val="▪"/>
      <w:lvlJc w:val="left"/>
      <w:pPr>
        <w:ind w:left="2070" w:hanging="360"/>
      </w:pPr>
      <w:rPr>
        <w:rFonts w:ascii="Noto Sans Symbols" w:eastAsia="Noto Sans Symbols" w:hAnsi="Noto Sans Symbols" w:cs="Noto Sans Symbols"/>
      </w:rPr>
    </w:lvl>
    <w:lvl w:ilvl="3">
      <w:start w:val="1"/>
      <w:numFmt w:val="bullet"/>
      <w:lvlText w:val="●"/>
      <w:lvlJc w:val="left"/>
      <w:pPr>
        <w:ind w:left="2790" w:hanging="360"/>
      </w:pPr>
      <w:rPr>
        <w:rFonts w:ascii="Noto Sans Symbols" w:eastAsia="Noto Sans Symbols" w:hAnsi="Noto Sans Symbols" w:cs="Noto Sans Symbols"/>
      </w:rPr>
    </w:lvl>
    <w:lvl w:ilvl="4">
      <w:start w:val="1"/>
      <w:numFmt w:val="bullet"/>
      <w:lvlText w:val="o"/>
      <w:lvlJc w:val="left"/>
      <w:pPr>
        <w:ind w:left="3510" w:hanging="360"/>
      </w:pPr>
      <w:rPr>
        <w:rFonts w:ascii="Courier New" w:eastAsia="Courier New" w:hAnsi="Courier New" w:cs="Courier New"/>
      </w:rPr>
    </w:lvl>
    <w:lvl w:ilvl="5">
      <w:start w:val="1"/>
      <w:numFmt w:val="bullet"/>
      <w:lvlText w:val="▪"/>
      <w:lvlJc w:val="left"/>
      <w:pPr>
        <w:ind w:left="4230" w:hanging="360"/>
      </w:pPr>
      <w:rPr>
        <w:rFonts w:ascii="Noto Sans Symbols" w:eastAsia="Noto Sans Symbols" w:hAnsi="Noto Sans Symbols" w:cs="Noto Sans Symbols"/>
      </w:rPr>
    </w:lvl>
    <w:lvl w:ilvl="6">
      <w:start w:val="1"/>
      <w:numFmt w:val="bullet"/>
      <w:lvlText w:val="●"/>
      <w:lvlJc w:val="left"/>
      <w:pPr>
        <w:ind w:left="4950" w:hanging="360"/>
      </w:pPr>
      <w:rPr>
        <w:rFonts w:ascii="Noto Sans Symbols" w:eastAsia="Noto Sans Symbols" w:hAnsi="Noto Sans Symbols" w:cs="Noto Sans Symbols"/>
      </w:rPr>
    </w:lvl>
    <w:lvl w:ilvl="7">
      <w:start w:val="1"/>
      <w:numFmt w:val="bullet"/>
      <w:lvlText w:val="o"/>
      <w:lvlJc w:val="left"/>
      <w:pPr>
        <w:ind w:left="5670" w:hanging="360"/>
      </w:pPr>
      <w:rPr>
        <w:rFonts w:ascii="Courier New" w:eastAsia="Courier New" w:hAnsi="Courier New" w:cs="Courier New"/>
      </w:rPr>
    </w:lvl>
    <w:lvl w:ilvl="8">
      <w:start w:val="1"/>
      <w:numFmt w:val="bullet"/>
      <w:lvlText w:val="▪"/>
      <w:lvlJc w:val="left"/>
      <w:pPr>
        <w:ind w:left="6390" w:hanging="360"/>
      </w:pPr>
      <w:rPr>
        <w:rFonts w:ascii="Noto Sans Symbols" w:eastAsia="Noto Sans Symbols" w:hAnsi="Noto Sans Symbols" w:cs="Noto Sans Symbols"/>
      </w:rPr>
    </w:lvl>
  </w:abstractNum>
  <w:abstractNum w:abstractNumId="63" w15:restartNumberingAfterBreak="0">
    <w:nsid w:val="52A66831"/>
    <w:multiLevelType w:val="multilevel"/>
    <w:tmpl w:val="D550DA08"/>
    <w:lvl w:ilvl="0">
      <w:start w:val="1"/>
      <w:numFmt w:val="bullet"/>
      <w:lvlText w:val="●"/>
      <w:lvlJc w:val="left"/>
      <w:pPr>
        <w:ind w:left="630" w:hanging="360"/>
      </w:pPr>
      <w:rPr>
        <w:rFonts w:ascii="Noto Sans Symbols" w:eastAsia="Noto Sans Symbols" w:hAnsi="Noto Sans Symbols" w:cs="Noto Sans Symbols"/>
      </w:rPr>
    </w:lvl>
    <w:lvl w:ilvl="1">
      <w:start w:val="1"/>
      <w:numFmt w:val="bullet"/>
      <w:lvlText w:val="o"/>
      <w:lvlJc w:val="left"/>
      <w:pPr>
        <w:ind w:left="1350" w:hanging="360"/>
      </w:pPr>
      <w:rPr>
        <w:rFonts w:ascii="Courier New" w:eastAsia="Courier New" w:hAnsi="Courier New" w:cs="Courier New"/>
      </w:rPr>
    </w:lvl>
    <w:lvl w:ilvl="2">
      <w:start w:val="1"/>
      <w:numFmt w:val="bullet"/>
      <w:lvlText w:val="▪"/>
      <w:lvlJc w:val="left"/>
      <w:pPr>
        <w:ind w:left="2070" w:hanging="360"/>
      </w:pPr>
      <w:rPr>
        <w:rFonts w:ascii="Noto Sans Symbols" w:eastAsia="Noto Sans Symbols" w:hAnsi="Noto Sans Symbols" w:cs="Noto Sans Symbols"/>
      </w:rPr>
    </w:lvl>
    <w:lvl w:ilvl="3">
      <w:start w:val="1"/>
      <w:numFmt w:val="bullet"/>
      <w:lvlText w:val="●"/>
      <w:lvlJc w:val="left"/>
      <w:pPr>
        <w:ind w:left="2790" w:hanging="360"/>
      </w:pPr>
      <w:rPr>
        <w:rFonts w:ascii="Noto Sans Symbols" w:eastAsia="Noto Sans Symbols" w:hAnsi="Noto Sans Symbols" w:cs="Noto Sans Symbols"/>
      </w:rPr>
    </w:lvl>
    <w:lvl w:ilvl="4">
      <w:start w:val="1"/>
      <w:numFmt w:val="bullet"/>
      <w:lvlText w:val="o"/>
      <w:lvlJc w:val="left"/>
      <w:pPr>
        <w:ind w:left="3510" w:hanging="360"/>
      </w:pPr>
      <w:rPr>
        <w:rFonts w:ascii="Courier New" w:eastAsia="Courier New" w:hAnsi="Courier New" w:cs="Courier New"/>
      </w:rPr>
    </w:lvl>
    <w:lvl w:ilvl="5">
      <w:start w:val="1"/>
      <w:numFmt w:val="bullet"/>
      <w:lvlText w:val="▪"/>
      <w:lvlJc w:val="left"/>
      <w:pPr>
        <w:ind w:left="4230" w:hanging="360"/>
      </w:pPr>
      <w:rPr>
        <w:rFonts w:ascii="Noto Sans Symbols" w:eastAsia="Noto Sans Symbols" w:hAnsi="Noto Sans Symbols" w:cs="Noto Sans Symbols"/>
      </w:rPr>
    </w:lvl>
    <w:lvl w:ilvl="6">
      <w:start w:val="1"/>
      <w:numFmt w:val="bullet"/>
      <w:lvlText w:val="●"/>
      <w:lvlJc w:val="left"/>
      <w:pPr>
        <w:ind w:left="4950" w:hanging="360"/>
      </w:pPr>
      <w:rPr>
        <w:rFonts w:ascii="Noto Sans Symbols" w:eastAsia="Noto Sans Symbols" w:hAnsi="Noto Sans Symbols" w:cs="Noto Sans Symbols"/>
      </w:rPr>
    </w:lvl>
    <w:lvl w:ilvl="7">
      <w:start w:val="1"/>
      <w:numFmt w:val="bullet"/>
      <w:lvlText w:val="o"/>
      <w:lvlJc w:val="left"/>
      <w:pPr>
        <w:ind w:left="5670" w:hanging="360"/>
      </w:pPr>
      <w:rPr>
        <w:rFonts w:ascii="Courier New" w:eastAsia="Courier New" w:hAnsi="Courier New" w:cs="Courier New"/>
      </w:rPr>
    </w:lvl>
    <w:lvl w:ilvl="8">
      <w:start w:val="1"/>
      <w:numFmt w:val="bullet"/>
      <w:lvlText w:val="▪"/>
      <w:lvlJc w:val="left"/>
      <w:pPr>
        <w:ind w:left="6390" w:hanging="360"/>
      </w:pPr>
      <w:rPr>
        <w:rFonts w:ascii="Noto Sans Symbols" w:eastAsia="Noto Sans Symbols" w:hAnsi="Noto Sans Symbols" w:cs="Noto Sans Symbols"/>
      </w:rPr>
    </w:lvl>
  </w:abstractNum>
  <w:abstractNum w:abstractNumId="64" w15:restartNumberingAfterBreak="0">
    <w:nsid w:val="52E85170"/>
    <w:multiLevelType w:val="multilevel"/>
    <w:tmpl w:val="F330F9C6"/>
    <w:lvl w:ilvl="0">
      <w:start w:val="1"/>
      <w:numFmt w:val="bullet"/>
      <w:lvlText w:val="●"/>
      <w:lvlJc w:val="left"/>
      <w:pPr>
        <w:ind w:left="630" w:hanging="360"/>
      </w:pPr>
      <w:rPr>
        <w:rFonts w:ascii="Noto Sans Symbols" w:eastAsia="Noto Sans Symbols" w:hAnsi="Noto Sans Symbols" w:cs="Noto Sans Symbols"/>
      </w:rPr>
    </w:lvl>
    <w:lvl w:ilvl="1">
      <w:start w:val="1"/>
      <w:numFmt w:val="bullet"/>
      <w:lvlText w:val="o"/>
      <w:lvlJc w:val="left"/>
      <w:pPr>
        <w:ind w:left="1350" w:hanging="360"/>
      </w:pPr>
      <w:rPr>
        <w:rFonts w:ascii="Courier New" w:eastAsia="Courier New" w:hAnsi="Courier New" w:cs="Courier New"/>
      </w:rPr>
    </w:lvl>
    <w:lvl w:ilvl="2">
      <w:start w:val="1"/>
      <w:numFmt w:val="bullet"/>
      <w:lvlText w:val="▪"/>
      <w:lvlJc w:val="left"/>
      <w:pPr>
        <w:ind w:left="2070" w:hanging="360"/>
      </w:pPr>
      <w:rPr>
        <w:rFonts w:ascii="Noto Sans Symbols" w:eastAsia="Noto Sans Symbols" w:hAnsi="Noto Sans Symbols" w:cs="Noto Sans Symbols"/>
      </w:rPr>
    </w:lvl>
    <w:lvl w:ilvl="3">
      <w:start w:val="1"/>
      <w:numFmt w:val="bullet"/>
      <w:lvlText w:val="●"/>
      <w:lvlJc w:val="left"/>
      <w:pPr>
        <w:ind w:left="2790" w:hanging="360"/>
      </w:pPr>
      <w:rPr>
        <w:rFonts w:ascii="Noto Sans Symbols" w:eastAsia="Noto Sans Symbols" w:hAnsi="Noto Sans Symbols" w:cs="Noto Sans Symbols"/>
      </w:rPr>
    </w:lvl>
    <w:lvl w:ilvl="4">
      <w:start w:val="1"/>
      <w:numFmt w:val="bullet"/>
      <w:lvlText w:val="o"/>
      <w:lvlJc w:val="left"/>
      <w:pPr>
        <w:ind w:left="3510" w:hanging="360"/>
      </w:pPr>
      <w:rPr>
        <w:rFonts w:ascii="Courier New" w:eastAsia="Courier New" w:hAnsi="Courier New" w:cs="Courier New"/>
      </w:rPr>
    </w:lvl>
    <w:lvl w:ilvl="5">
      <w:start w:val="1"/>
      <w:numFmt w:val="bullet"/>
      <w:lvlText w:val="▪"/>
      <w:lvlJc w:val="left"/>
      <w:pPr>
        <w:ind w:left="4230" w:hanging="360"/>
      </w:pPr>
      <w:rPr>
        <w:rFonts w:ascii="Noto Sans Symbols" w:eastAsia="Noto Sans Symbols" w:hAnsi="Noto Sans Symbols" w:cs="Noto Sans Symbols"/>
      </w:rPr>
    </w:lvl>
    <w:lvl w:ilvl="6">
      <w:start w:val="1"/>
      <w:numFmt w:val="bullet"/>
      <w:lvlText w:val="●"/>
      <w:lvlJc w:val="left"/>
      <w:pPr>
        <w:ind w:left="4950" w:hanging="360"/>
      </w:pPr>
      <w:rPr>
        <w:rFonts w:ascii="Noto Sans Symbols" w:eastAsia="Noto Sans Symbols" w:hAnsi="Noto Sans Symbols" w:cs="Noto Sans Symbols"/>
      </w:rPr>
    </w:lvl>
    <w:lvl w:ilvl="7">
      <w:start w:val="1"/>
      <w:numFmt w:val="bullet"/>
      <w:lvlText w:val="o"/>
      <w:lvlJc w:val="left"/>
      <w:pPr>
        <w:ind w:left="5670" w:hanging="360"/>
      </w:pPr>
      <w:rPr>
        <w:rFonts w:ascii="Courier New" w:eastAsia="Courier New" w:hAnsi="Courier New" w:cs="Courier New"/>
      </w:rPr>
    </w:lvl>
    <w:lvl w:ilvl="8">
      <w:start w:val="1"/>
      <w:numFmt w:val="bullet"/>
      <w:lvlText w:val="▪"/>
      <w:lvlJc w:val="left"/>
      <w:pPr>
        <w:ind w:left="6390" w:hanging="360"/>
      </w:pPr>
      <w:rPr>
        <w:rFonts w:ascii="Noto Sans Symbols" w:eastAsia="Noto Sans Symbols" w:hAnsi="Noto Sans Symbols" w:cs="Noto Sans Symbols"/>
      </w:rPr>
    </w:lvl>
  </w:abstractNum>
  <w:abstractNum w:abstractNumId="65" w15:restartNumberingAfterBreak="0">
    <w:nsid w:val="541D2E41"/>
    <w:multiLevelType w:val="multilevel"/>
    <w:tmpl w:val="70C49658"/>
    <w:lvl w:ilvl="0">
      <w:start w:val="1"/>
      <w:numFmt w:val="upp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6" w15:restartNumberingAfterBreak="0">
    <w:nsid w:val="55766978"/>
    <w:multiLevelType w:val="multilevel"/>
    <w:tmpl w:val="01161A8C"/>
    <w:lvl w:ilvl="0">
      <w:start w:val="1"/>
      <w:numFmt w:val="bullet"/>
      <w:lvlText w:val="●"/>
      <w:lvlJc w:val="left"/>
      <w:pPr>
        <w:ind w:left="630" w:hanging="360"/>
      </w:pPr>
      <w:rPr>
        <w:rFonts w:ascii="Noto Sans Symbols" w:eastAsia="Noto Sans Symbols" w:hAnsi="Noto Sans Symbols" w:cs="Noto Sans Symbols"/>
      </w:rPr>
    </w:lvl>
    <w:lvl w:ilvl="1">
      <w:start w:val="1"/>
      <w:numFmt w:val="bullet"/>
      <w:lvlText w:val="o"/>
      <w:lvlJc w:val="left"/>
      <w:pPr>
        <w:ind w:left="1350" w:hanging="360"/>
      </w:pPr>
      <w:rPr>
        <w:rFonts w:ascii="Courier New" w:eastAsia="Courier New" w:hAnsi="Courier New" w:cs="Courier New"/>
      </w:rPr>
    </w:lvl>
    <w:lvl w:ilvl="2">
      <w:start w:val="1"/>
      <w:numFmt w:val="bullet"/>
      <w:lvlText w:val="▪"/>
      <w:lvlJc w:val="left"/>
      <w:pPr>
        <w:ind w:left="2070" w:hanging="360"/>
      </w:pPr>
      <w:rPr>
        <w:rFonts w:ascii="Noto Sans Symbols" w:eastAsia="Noto Sans Symbols" w:hAnsi="Noto Sans Symbols" w:cs="Noto Sans Symbols"/>
      </w:rPr>
    </w:lvl>
    <w:lvl w:ilvl="3">
      <w:start w:val="1"/>
      <w:numFmt w:val="bullet"/>
      <w:lvlText w:val="●"/>
      <w:lvlJc w:val="left"/>
      <w:pPr>
        <w:ind w:left="2790" w:hanging="360"/>
      </w:pPr>
      <w:rPr>
        <w:rFonts w:ascii="Noto Sans Symbols" w:eastAsia="Noto Sans Symbols" w:hAnsi="Noto Sans Symbols" w:cs="Noto Sans Symbols"/>
      </w:rPr>
    </w:lvl>
    <w:lvl w:ilvl="4">
      <w:start w:val="1"/>
      <w:numFmt w:val="bullet"/>
      <w:lvlText w:val="o"/>
      <w:lvlJc w:val="left"/>
      <w:pPr>
        <w:ind w:left="3510" w:hanging="360"/>
      </w:pPr>
      <w:rPr>
        <w:rFonts w:ascii="Courier New" w:eastAsia="Courier New" w:hAnsi="Courier New" w:cs="Courier New"/>
      </w:rPr>
    </w:lvl>
    <w:lvl w:ilvl="5">
      <w:start w:val="1"/>
      <w:numFmt w:val="bullet"/>
      <w:lvlText w:val="▪"/>
      <w:lvlJc w:val="left"/>
      <w:pPr>
        <w:ind w:left="4230" w:hanging="360"/>
      </w:pPr>
      <w:rPr>
        <w:rFonts w:ascii="Noto Sans Symbols" w:eastAsia="Noto Sans Symbols" w:hAnsi="Noto Sans Symbols" w:cs="Noto Sans Symbols"/>
      </w:rPr>
    </w:lvl>
    <w:lvl w:ilvl="6">
      <w:start w:val="1"/>
      <w:numFmt w:val="bullet"/>
      <w:lvlText w:val="●"/>
      <w:lvlJc w:val="left"/>
      <w:pPr>
        <w:ind w:left="4950" w:hanging="360"/>
      </w:pPr>
      <w:rPr>
        <w:rFonts w:ascii="Noto Sans Symbols" w:eastAsia="Noto Sans Symbols" w:hAnsi="Noto Sans Symbols" w:cs="Noto Sans Symbols"/>
      </w:rPr>
    </w:lvl>
    <w:lvl w:ilvl="7">
      <w:start w:val="1"/>
      <w:numFmt w:val="bullet"/>
      <w:lvlText w:val="o"/>
      <w:lvlJc w:val="left"/>
      <w:pPr>
        <w:ind w:left="5670" w:hanging="360"/>
      </w:pPr>
      <w:rPr>
        <w:rFonts w:ascii="Courier New" w:eastAsia="Courier New" w:hAnsi="Courier New" w:cs="Courier New"/>
      </w:rPr>
    </w:lvl>
    <w:lvl w:ilvl="8">
      <w:start w:val="1"/>
      <w:numFmt w:val="bullet"/>
      <w:lvlText w:val="▪"/>
      <w:lvlJc w:val="left"/>
      <w:pPr>
        <w:ind w:left="6390" w:hanging="360"/>
      </w:pPr>
      <w:rPr>
        <w:rFonts w:ascii="Noto Sans Symbols" w:eastAsia="Noto Sans Symbols" w:hAnsi="Noto Sans Symbols" w:cs="Noto Sans Symbols"/>
      </w:rPr>
    </w:lvl>
  </w:abstractNum>
  <w:abstractNum w:abstractNumId="67" w15:restartNumberingAfterBreak="0">
    <w:nsid w:val="56FD0193"/>
    <w:multiLevelType w:val="multilevel"/>
    <w:tmpl w:val="40D46D0E"/>
    <w:lvl w:ilvl="0">
      <w:start w:val="1"/>
      <w:numFmt w:val="decimal"/>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8" w15:restartNumberingAfterBreak="0">
    <w:nsid w:val="587016EF"/>
    <w:multiLevelType w:val="multilevel"/>
    <w:tmpl w:val="0B88A9A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69" w15:restartNumberingAfterBreak="0">
    <w:nsid w:val="5A3316CE"/>
    <w:multiLevelType w:val="multilevel"/>
    <w:tmpl w:val="176A98DE"/>
    <w:lvl w:ilvl="0">
      <w:start w:val="1"/>
      <w:numFmt w:val="bullet"/>
      <w:lvlText w:val="●"/>
      <w:lvlJc w:val="left"/>
      <w:pPr>
        <w:ind w:left="630" w:hanging="360"/>
      </w:pPr>
      <w:rPr>
        <w:rFonts w:ascii="Noto Sans Symbols" w:eastAsia="Noto Sans Symbols" w:hAnsi="Noto Sans Symbols" w:cs="Noto Sans Symbols"/>
      </w:rPr>
    </w:lvl>
    <w:lvl w:ilvl="1">
      <w:start w:val="1"/>
      <w:numFmt w:val="bullet"/>
      <w:lvlText w:val="o"/>
      <w:lvlJc w:val="left"/>
      <w:pPr>
        <w:ind w:left="1350" w:hanging="360"/>
      </w:pPr>
      <w:rPr>
        <w:rFonts w:ascii="Courier New" w:eastAsia="Courier New" w:hAnsi="Courier New" w:cs="Courier New"/>
      </w:rPr>
    </w:lvl>
    <w:lvl w:ilvl="2">
      <w:start w:val="1"/>
      <w:numFmt w:val="bullet"/>
      <w:lvlText w:val="▪"/>
      <w:lvlJc w:val="left"/>
      <w:pPr>
        <w:ind w:left="2070" w:hanging="360"/>
      </w:pPr>
      <w:rPr>
        <w:rFonts w:ascii="Noto Sans Symbols" w:eastAsia="Noto Sans Symbols" w:hAnsi="Noto Sans Symbols" w:cs="Noto Sans Symbols"/>
      </w:rPr>
    </w:lvl>
    <w:lvl w:ilvl="3">
      <w:start w:val="1"/>
      <w:numFmt w:val="bullet"/>
      <w:lvlText w:val="●"/>
      <w:lvlJc w:val="left"/>
      <w:pPr>
        <w:ind w:left="2790" w:hanging="360"/>
      </w:pPr>
      <w:rPr>
        <w:rFonts w:ascii="Noto Sans Symbols" w:eastAsia="Noto Sans Symbols" w:hAnsi="Noto Sans Symbols" w:cs="Noto Sans Symbols"/>
      </w:rPr>
    </w:lvl>
    <w:lvl w:ilvl="4">
      <w:start w:val="1"/>
      <w:numFmt w:val="bullet"/>
      <w:lvlText w:val="o"/>
      <w:lvlJc w:val="left"/>
      <w:pPr>
        <w:ind w:left="3510" w:hanging="360"/>
      </w:pPr>
      <w:rPr>
        <w:rFonts w:ascii="Courier New" w:eastAsia="Courier New" w:hAnsi="Courier New" w:cs="Courier New"/>
      </w:rPr>
    </w:lvl>
    <w:lvl w:ilvl="5">
      <w:start w:val="1"/>
      <w:numFmt w:val="bullet"/>
      <w:lvlText w:val="▪"/>
      <w:lvlJc w:val="left"/>
      <w:pPr>
        <w:ind w:left="4230" w:hanging="360"/>
      </w:pPr>
      <w:rPr>
        <w:rFonts w:ascii="Noto Sans Symbols" w:eastAsia="Noto Sans Symbols" w:hAnsi="Noto Sans Symbols" w:cs="Noto Sans Symbols"/>
      </w:rPr>
    </w:lvl>
    <w:lvl w:ilvl="6">
      <w:start w:val="1"/>
      <w:numFmt w:val="bullet"/>
      <w:lvlText w:val="●"/>
      <w:lvlJc w:val="left"/>
      <w:pPr>
        <w:ind w:left="4950" w:hanging="360"/>
      </w:pPr>
      <w:rPr>
        <w:rFonts w:ascii="Noto Sans Symbols" w:eastAsia="Noto Sans Symbols" w:hAnsi="Noto Sans Symbols" w:cs="Noto Sans Symbols"/>
      </w:rPr>
    </w:lvl>
    <w:lvl w:ilvl="7">
      <w:start w:val="1"/>
      <w:numFmt w:val="bullet"/>
      <w:lvlText w:val="o"/>
      <w:lvlJc w:val="left"/>
      <w:pPr>
        <w:ind w:left="5670" w:hanging="360"/>
      </w:pPr>
      <w:rPr>
        <w:rFonts w:ascii="Courier New" w:eastAsia="Courier New" w:hAnsi="Courier New" w:cs="Courier New"/>
      </w:rPr>
    </w:lvl>
    <w:lvl w:ilvl="8">
      <w:start w:val="1"/>
      <w:numFmt w:val="bullet"/>
      <w:lvlText w:val="▪"/>
      <w:lvlJc w:val="left"/>
      <w:pPr>
        <w:ind w:left="6390" w:hanging="360"/>
      </w:pPr>
      <w:rPr>
        <w:rFonts w:ascii="Noto Sans Symbols" w:eastAsia="Noto Sans Symbols" w:hAnsi="Noto Sans Symbols" w:cs="Noto Sans Symbols"/>
      </w:rPr>
    </w:lvl>
  </w:abstractNum>
  <w:abstractNum w:abstractNumId="70" w15:restartNumberingAfterBreak="0">
    <w:nsid w:val="5B465A10"/>
    <w:multiLevelType w:val="multilevel"/>
    <w:tmpl w:val="B04AB1C0"/>
    <w:lvl w:ilvl="0">
      <w:start w:val="1"/>
      <w:numFmt w:val="bullet"/>
      <w:lvlText w:val="•"/>
      <w:lvlJc w:val="left"/>
      <w:pPr>
        <w:ind w:left="720" w:hanging="36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71" w15:restartNumberingAfterBreak="0">
    <w:nsid w:val="5B7E4249"/>
    <w:multiLevelType w:val="multilevel"/>
    <w:tmpl w:val="393CFC02"/>
    <w:lvl w:ilvl="0">
      <w:start w:val="1"/>
      <w:numFmt w:val="decimal"/>
      <w:lvlText w:val="%1)"/>
      <w:lvlJc w:val="left"/>
      <w:pPr>
        <w:ind w:left="990" w:hanging="360"/>
      </w:pPr>
    </w:lvl>
    <w:lvl w:ilvl="1">
      <w:start w:val="1"/>
      <w:numFmt w:val="lowerLetter"/>
      <w:lvlText w:val="%2."/>
      <w:lvlJc w:val="left"/>
      <w:pPr>
        <w:ind w:left="1710" w:hanging="360"/>
      </w:pPr>
    </w:lvl>
    <w:lvl w:ilvl="2">
      <w:start w:val="1"/>
      <w:numFmt w:val="lowerRoman"/>
      <w:lvlText w:val="%3."/>
      <w:lvlJc w:val="right"/>
      <w:pPr>
        <w:ind w:left="2430" w:hanging="180"/>
      </w:pPr>
    </w:lvl>
    <w:lvl w:ilvl="3">
      <w:start w:val="1"/>
      <w:numFmt w:val="decimal"/>
      <w:lvlText w:val="%4."/>
      <w:lvlJc w:val="left"/>
      <w:pPr>
        <w:ind w:left="3150" w:hanging="360"/>
      </w:pPr>
    </w:lvl>
    <w:lvl w:ilvl="4">
      <w:start w:val="1"/>
      <w:numFmt w:val="lowerLetter"/>
      <w:lvlText w:val="%5."/>
      <w:lvlJc w:val="left"/>
      <w:pPr>
        <w:ind w:left="3870" w:hanging="360"/>
      </w:pPr>
    </w:lvl>
    <w:lvl w:ilvl="5">
      <w:start w:val="1"/>
      <w:numFmt w:val="lowerRoman"/>
      <w:lvlText w:val="%6."/>
      <w:lvlJc w:val="right"/>
      <w:pPr>
        <w:ind w:left="4590" w:hanging="180"/>
      </w:pPr>
    </w:lvl>
    <w:lvl w:ilvl="6">
      <w:start w:val="1"/>
      <w:numFmt w:val="decimal"/>
      <w:lvlText w:val="%7."/>
      <w:lvlJc w:val="left"/>
      <w:pPr>
        <w:ind w:left="5310" w:hanging="360"/>
      </w:pPr>
    </w:lvl>
    <w:lvl w:ilvl="7">
      <w:start w:val="1"/>
      <w:numFmt w:val="lowerLetter"/>
      <w:lvlText w:val="%8."/>
      <w:lvlJc w:val="left"/>
      <w:pPr>
        <w:ind w:left="6030" w:hanging="360"/>
      </w:pPr>
    </w:lvl>
    <w:lvl w:ilvl="8">
      <w:start w:val="1"/>
      <w:numFmt w:val="lowerRoman"/>
      <w:lvlText w:val="%9."/>
      <w:lvlJc w:val="right"/>
      <w:pPr>
        <w:ind w:left="6750" w:hanging="180"/>
      </w:pPr>
    </w:lvl>
  </w:abstractNum>
  <w:abstractNum w:abstractNumId="72" w15:restartNumberingAfterBreak="0">
    <w:nsid w:val="5D110C42"/>
    <w:multiLevelType w:val="multilevel"/>
    <w:tmpl w:val="F7ECC2F4"/>
    <w:lvl w:ilvl="0">
      <w:start w:val="1"/>
      <w:numFmt w:val="bullet"/>
      <w:lvlText w:val="●"/>
      <w:lvlJc w:val="left"/>
      <w:pPr>
        <w:ind w:left="630" w:hanging="360"/>
      </w:pPr>
      <w:rPr>
        <w:rFonts w:ascii="Noto Sans Symbols" w:eastAsia="Noto Sans Symbols" w:hAnsi="Noto Sans Symbols" w:cs="Noto Sans Symbols"/>
      </w:rPr>
    </w:lvl>
    <w:lvl w:ilvl="1">
      <w:start w:val="1"/>
      <w:numFmt w:val="bullet"/>
      <w:lvlText w:val="o"/>
      <w:lvlJc w:val="left"/>
      <w:pPr>
        <w:ind w:left="1350" w:hanging="360"/>
      </w:pPr>
      <w:rPr>
        <w:rFonts w:ascii="Courier New" w:eastAsia="Courier New" w:hAnsi="Courier New" w:cs="Courier New"/>
      </w:rPr>
    </w:lvl>
    <w:lvl w:ilvl="2">
      <w:start w:val="1"/>
      <w:numFmt w:val="bullet"/>
      <w:lvlText w:val="▪"/>
      <w:lvlJc w:val="left"/>
      <w:pPr>
        <w:ind w:left="2070" w:hanging="360"/>
      </w:pPr>
      <w:rPr>
        <w:rFonts w:ascii="Noto Sans Symbols" w:eastAsia="Noto Sans Symbols" w:hAnsi="Noto Sans Symbols" w:cs="Noto Sans Symbols"/>
      </w:rPr>
    </w:lvl>
    <w:lvl w:ilvl="3">
      <w:start w:val="1"/>
      <w:numFmt w:val="bullet"/>
      <w:lvlText w:val="●"/>
      <w:lvlJc w:val="left"/>
      <w:pPr>
        <w:ind w:left="2790" w:hanging="360"/>
      </w:pPr>
      <w:rPr>
        <w:rFonts w:ascii="Noto Sans Symbols" w:eastAsia="Noto Sans Symbols" w:hAnsi="Noto Sans Symbols" w:cs="Noto Sans Symbols"/>
      </w:rPr>
    </w:lvl>
    <w:lvl w:ilvl="4">
      <w:start w:val="1"/>
      <w:numFmt w:val="bullet"/>
      <w:lvlText w:val="o"/>
      <w:lvlJc w:val="left"/>
      <w:pPr>
        <w:ind w:left="3510" w:hanging="360"/>
      </w:pPr>
      <w:rPr>
        <w:rFonts w:ascii="Courier New" w:eastAsia="Courier New" w:hAnsi="Courier New" w:cs="Courier New"/>
      </w:rPr>
    </w:lvl>
    <w:lvl w:ilvl="5">
      <w:start w:val="1"/>
      <w:numFmt w:val="bullet"/>
      <w:lvlText w:val="▪"/>
      <w:lvlJc w:val="left"/>
      <w:pPr>
        <w:ind w:left="4230" w:hanging="360"/>
      </w:pPr>
      <w:rPr>
        <w:rFonts w:ascii="Noto Sans Symbols" w:eastAsia="Noto Sans Symbols" w:hAnsi="Noto Sans Symbols" w:cs="Noto Sans Symbols"/>
      </w:rPr>
    </w:lvl>
    <w:lvl w:ilvl="6">
      <w:start w:val="1"/>
      <w:numFmt w:val="bullet"/>
      <w:lvlText w:val="●"/>
      <w:lvlJc w:val="left"/>
      <w:pPr>
        <w:ind w:left="4950" w:hanging="360"/>
      </w:pPr>
      <w:rPr>
        <w:rFonts w:ascii="Noto Sans Symbols" w:eastAsia="Noto Sans Symbols" w:hAnsi="Noto Sans Symbols" w:cs="Noto Sans Symbols"/>
      </w:rPr>
    </w:lvl>
    <w:lvl w:ilvl="7">
      <w:start w:val="1"/>
      <w:numFmt w:val="bullet"/>
      <w:lvlText w:val="o"/>
      <w:lvlJc w:val="left"/>
      <w:pPr>
        <w:ind w:left="5670" w:hanging="360"/>
      </w:pPr>
      <w:rPr>
        <w:rFonts w:ascii="Courier New" w:eastAsia="Courier New" w:hAnsi="Courier New" w:cs="Courier New"/>
      </w:rPr>
    </w:lvl>
    <w:lvl w:ilvl="8">
      <w:start w:val="1"/>
      <w:numFmt w:val="bullet"/>
      <w:lvlText w:val="▪"/>
      <w:lvlJc w:val="left"/>
      <w:pPr>
        <w:ind w:left="6390" w:hanging="360"/>
      </w:pPr>
      <w:rPr>
        <w:rFonts w:ascii="Noto Sans Symbols" w:eastAsia="Noto Sans Symbols" w:hAnsi="Noto Sans Symbols" w:cs="Noto Sans Symbols"/>
      </w:rPr>
    </w:lvl>
  </w:abstractNum>
  <w:abstractNum w:abstractNumId="73" w15:restartNumberingAfterBreak="0">
    <w:nsid w:val="5D4559E6"/>
    <w:multiLevelType w:val="multilevel"/>
    <w:tmpl w:val="2EACC58E"/>
    <w:lvl w:ilvl="0">
      <w:start w:val="1"/>
      <w:numFmt w:val="bullet"/>
      <w:lvlText w:val="●"/>
      <w:lvlJc w:val="left"/>
      <w:pPr>
        <w:ind w:left="630" w:hanging="360"/>
      </w:pPr>
      <w:rPr>
        <w:rFonts w:ascii="Noto Sans Symbols" w:eastAsia="Noto Sans Symbols" w:hAnsi="Noto Sans Symbols" w:cs="Noto Sans Symbols"/>
      </w:rPr>
    </w:lvl>
    <w:lvl w:ilvl="1">
      <w:start w:val="1"/>
      <w:numFmt w:val="bullet"/>
      <w:lvlText w:val="o"/>
      <w:lvlJc w:val="left"/>
      <w:pPr>
        <w:ind w:left="1350" w:hanging="360"/>
      </w:pPr>
      <w:rPr>
        <w:rFonts w:ascii="Courier New" w:eastAsia="Courier New" w:hAnsi="Courier New" w:cs="Courier New"/>
      </w:rPr>
    </w:lvl>
    <w:lvl w:ilvl="2">
      <w:start w:val="1"/>
      <w:numFmt w:val="bullet"/>
      <w:lvlText w:val="▪"/>
      <w:lvlJc w:val="left"/>
      <w:pPr>
        <w:ind w:left="2070" w:hanging="360"/>
      </w:pPr>
      <w:rPr>
        <w:rFonts w:ascii="Noto Sans Symbols" w:eastAsia="Noto Sans Symbols" w:hAnsi="Noto Sans Symbols" w:cs="Noto Sans Symbols"/>
      </w:rPr>
    </w:lvl>
    <w:lvl w:ilvl="3">
      <w:start w:val="1"/>
      <w:numFmt w:val="bullet"/>
      <w:lvlText w:val="●"/>
      <w:lvlJc w:val="left"/>
      <w:pPr>
        <w:ind w:left="2790" w:hanging="360"/>
      </w:pPr>
      <w:rPr>
        <w:rFonts w:ascii="Noto Sans Symbols" w:eastAsia="Noto Sans Symbols" w:hAnsi="Noto Sans Symbols" w:cs="Noto Sans Symbols"/>
      </w:rPr>
    </w:lvl>
    <w:lvl w:ilvl="4">
      <w:start w:val="1"/>
      <w:numFmt w:val="bullet"/>
      <w:lvlText w:val="o"/>
      <w:lvlJc w:val="left"/>
      <w:pPr>
        <w:ind w:left="3510" w:hanging="360"/>
      </w:pPr>
      <w:rPr>
        <w:rFonts w:ascii="Courier New" w:eastAsia="Courier New" w:hAnsi="Courier New" w:cs="Courier New"/>
      </w:rPr>
    </w:lvl>
    <w:lvl w:ilvl="5">
      <w:start w:val="1"/>
      <w:numFmt w:val="bullet"/>
      <w:lvlText w:val="▪"/>
      <w:lvlJc w:val="left"/>
      <w:pPr>
        <w:ind w:left="4230" w:hanging="360"/>
      </w:pPr>
      <w:rPr>
        <w:rFonts w:ascii="Noto Sans Symbols" w:eastAsia="Noto Sans Symbols" w:hAnsi="Noto Sans Symbols" w:cs="Noto Sans Symbols"/>
      </w:rPr>
    </w:lvl>
    <w:lvl w:ilvl="6">
      <w:start w:val="1"/>
      <w:numFmt w:val="bullet"/>
      <w:lvlText w:val="●"/>
      <w:lvlJc w:val="left"/>
      <w:pPr>
        <w:ind w:left="4950" w:hanging="360"/>
      </w:pPr>
      <w:rPr>
        <w:rFonts w:ascii="Noto Sans Symbols" w:eastAsia="Noto Sans Symbols" w:hAnsi="Noto Sans Symbols" w:cs="Noto Sans Symbols"/>
      </w:rPr>
    </w:lvl>
    <w:lvl w:ilvl="7">
      <w:start w:val="1"/>
      <w:numFmt w:val="bullet"/>
      <w:lvlText w:val="o"/>
      <w:lvlJc w:val="left"/>
      <w:pPr>
        <w:ind w:left="5670" w:hanging="360"/>
      </w:pPr>
      <w:rPr>
        <w:rFonts w:ascii="Courier New" w:eastAsia="Courier New" w:hAnsi="Courier New" w:cs="Courier New"/>
      </w:rPr>
    </w:lvl>
    <w:lvl w:ilvl="8">
      <w:start w:val="1"/>
      <w:numFmt w:val="bullet"/>
      <w:lvlText w:val="▪"/>
      <w:lvlJc w:val="left"/>
      <w:pPr>
        <w:ind w:left="6390" w:hanging="360"/>
      </w:pPr>
      <w:rPr>
        <w:rFonts w:ascii="Noto Sans Symbols" w:eastAsia="Noto Sans Symbols" w:hAnsi="Noto Sans Symbols" w:cs="Noto Sans Symbols"/>
      </w:rPr>
    </w:lvl>
  </w:abstractNum>
  <w:abstractNum w:abstractNumId="74" w15:restartNumberingAfterBreak="0">
    <w:nsid w:val="5FB164D2"/>
    <w:multiLevelType w:val="multilevel"/>
    <w:tmpl w:val="0F5EC57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75" w15:restartNumberingAfterBreak="0">
    <w:nsid w:val="5FC83D35"/>
    <w:multiLevelType w:val="multilevel"/>
    <w:tmpl w:val="B92C4146"/>
    <w:lvl w:ilvl="0">
      <w:start w:val="1"/>
      <w:numFmt w:val="bullet"/>
      <w:lvlText w:val="●"/>
      <w:lvlJc w:val="left"/>
      <w:pPr>
        <w:ind w:left="630" w:hanging="360"/>
      </w:pPr>
      <w:rPr>
        <w:rFonts w:ascii="Noto Sans Symbols" w:eastAsia="Noto Sans Symbols" w:hAnsi="Noto Sans Symbols" w:cs="Noto Sans Symbols"/>
      </w:rPr>
    </w:lvl>
    <w:lvl w:ilvl="1">
      <w:start w:val="1"/>
      <w:numFmt w:val="bullet"/>
      <w:lvlText w:val="o"/>
      <w:lvlJc w:val="left"/>
      <w:pPr>
        <w:ind w:left="1350" w:hanging="360"/>
      </w:pPr>
      <w:rPr>
        <w:rFonts w:ascii="Courier New" w:eastAsia="Courier New" w:hAnsi="Courier New" w:cs="Courier New"/>
      </w:rPr>
    </w:lvl>
    <w:lvl w:ilvl="2">
      <w:start w:val="1"/>
      <w:numFmt w:val="bullet"/>
      <w:lvlText w:val="▪"/>
      <w:lvlJc w:val="left"/>
      <w:pPr>
        <w:ind w:left="2070" w:hanging="360"/>
      </w:pPr>
      <w:rPr>
        <w:rFonts w:ascii="Noto Sans Symbols" w:eastAsia="Noto Sans Symbols" w:hAnsi="Noto Sans Symbols" w:cs="Noto Sans Symbols"/>
      </w:rPr>
    </w:lvl>
    <w:lvl w:ilvl="3">
      <w:start w:val="1"/>
      <w:numFmt w:val="bullet"/>
      <w:lvlText w:val="●"/>
      <w:lvlJc w:val="left"/>
      <w:pPr>
        <w:ind w:left="2790" w:hanging="360"/>
      </w:pPr>
      <w:rPr>
        <w:rFonts w:ascii="Noto Sans Symbols" w:eastAsia="Noto Sans Symbols" w:hAnsi="Noto Sans Symbols" w:cs="Noto Sans Symbols"/>
      </w:rPr>
    </w:lvl>
    <w:lvl w:ilvl="4">
      <w:start w:val="1"/>
      <w:numFmt w:val="bullet"/>
      <w:lvlText w:val="o"/>
      <w:lvlJc w:val="left"/>
      <w:pPr>
        <w:ind w:left="3510" w:hanging="360"/>
      </w:pPr>
      <w:rPr>
        <w:rFonts w:ascii="Courier New" w:eastAsia="Courier New" w:hAnsi="Courier New" w:cs="Courier New"/>
      </w:rPr>
    </w:lvl>
    <w:lvl w:ilvl="5">
      <w:start w:val="1"/>
      <w:numFmt w:val="bullet"/>
      <w:lvlText w:val="▪"/>
      <w:lvlJc w:val="left"/>
      <w:pPr>
        <w:ind w:left="4230" w:hanging="360"/>
      </w:pPr>
      <w:rPr>
        <w:rFonts w:ascii="Noto Sans Symbols" w:eastAsia="Noto Sans Symbols" w:hAnsi="Noto Sans Symbols" w:cs="Noto Sans Symbols"/>
      </w:rPr>
    </w:lvl>
    <w:lvl w:ilvl="6">
      <w:start w:val="1"/>
      <w:numFmt w:val="bullet"/>
      <w:lvlText w:val="●"/>
      <w:lvlJc w:val="left"/>
      <w:pPr>
        <w:ind w:left="4950" w:hanging="360"/>
      </w:pPr>
      <w:rPr>
        <w:rFonts w:ascii="Noto Sans Symbols" w:eastAsia="Noto Sans Symbols" w:hAnsi="Noto Sans Symbols" w:cs="Noto Sans Symbols"/>
      </w:rPr>
    </w:lvl>
    <w:lvl w:ilvl="7">
      <w:start w:val="1"/>
      <w:numFmt w:val="bullet"/>
      <w:lvlText w:val="o"/>
      <w:lvlJc w:val="left"/>
      <w:pPr>
        <w:ind w:left="5670" w:hanging="360"/>
      </w:pPr>
      <w:rPr>
        <w:rFonts w:ascii="Courier New" w:eastAsia="Courier New" w:hAnsi="Courier New" w:cs="Courier New"/>
      </w:rPr>
    </w:lvl>
    <w:lvl w:ilvl="8">
      <w:start w:val="1"/>
      <w:numFmt w:val="bullet"/>
      <w:lvlText w:val="▪"/>
      <w:lvlJc w:val="left"/>
      <w:pPr>
        <w:ind w:left="6390" w:hanging="360"/>
      </w:pPr>
      <w:rPr>
        <w:rFonts w:ascii="Noto Sans Symbols" w:eastAsia="Noto Sans Symbols" w:hAnsi="Noto Sans Symbols" w:cs="Noto Sans Symbols"/>
      </w:rPr>
    </w:lvl>
  </w:abstractNum>
  <w:abstractNum w:abstractNumId="76" w15:restartNumberingAfterBreak="0">
    <w:nsid w:val="5FE403F3"/>
    <w:multiLevelType w:val="multilevel"/>
    <w:tmpl w:val="41EEB93E"/>
    <w:lvl w:ilvl="0">
      <w:start w:val="1"/>
      <w:numFmt w:val="bullet"/>
      <w:lvlText w:val="●"/>
      <w:lvlJc w:val="left"/>
      <w:pPr>
        <w:ind w:left="630" w:hanging="360"/>
      </w:pPr>
      <w:rPr>
        <w:rFonts w:ascii="Noto Sans Symbols" w:eastAsia="Noto Sans Symbols" w:hAnsi="Noto Sans Symbols" w:cs="Noto Sans Symbols"/>
      </w:rPr>
    </w:lvl>
    <w:lvl w:ilvl="1">
      <w:start w:val="1"/>
      <w:numFmt w:val="bullet"/>
      <w:lvlText w:val="o"/>
      <w:lvlJc w:val="left"/>
      <w:pPr>
        <w:ind w:left="1350" w:hanging="360"/>
      </w:pPr>
      <w:rPr>
        <w:rFonts w:ascii="Courier New" w:eastAsia="Courier New" w:hAnsi="Courier New" w:cs="Courier New"/>
      </w:rPr>
    </w:lvl>
    <w:lvl w:ilvl="2">
      <w:start w:val="1"/>
      <w:numFmt w:val="bullet"/>
      <w:lvlText w:val="▪"/>
      <w:lvlJc w:val="left"/>
      <w:pPr>
        <w:ind w:left="2070" w:hanging="360"/>
      </w:pPr>
      <w:rPr>
        <w:rFonts w:ascii="Noto Sans Symbols" w:eastAsia="Noto Sans Symbols" w:hAnsi="Noto Sans Symbols" w:cs="Noto Sans Symbols"/>
      </w:rPr>
    </w:lvl>
    <w:lvl w:ilvl="3">
      <w:start w:val="1"/>
      <w:numFmt w:val="bullet"/>
      <w:lvlText w:val="●"/>
      <w:lvlJc w:val="left"/>
      <w:pPr>
        <w:ind w:left="2790" w:hanging="360"/>
      </w:pPr>
      <w:rPr>
        <w:rFonts w:ascii="Noto Sans Symbols" w:eastAsia="Noto Sans Symbols" w:hAnsi="Noto Sans Symbols" w:cs="Noto Sans Symbols"/>
      </w:rPr>
    </w:lvl>
    <w:lvl w:ilvl="4">
      <w:start w:val="1"/>
      <w:numFmt w:val="bullet"/>
      <w:lvlText w:val="o"/>
      <w:lvlJc w:val="left"/>
      <w:pPr>
        <w:ind w:left="3510" w:hanging="360"/>
      </w:pPr>
      <w:rPr>
        <w:rFonts w:ascii="Courier New" w:eastAsia="Courier New" w:hAnsi="Courier New" w:cs="Courier New"/>
      </w:rPr>
    </w:lvl>
    <w:lvl w:ilvl="5">
      <w:start w:val="1"/>
      <w:numFmt w:val="bullet"/>
      <w:lvlText w:val="▪"/>
      <w:lvlJc w:val="left"/>
      <w:pPr>
        <w:ind w:left="4230" w:hanging="360"/>
      </w:pPr>
      <w:rPr>
        <w:rFonts w:ascii="Noto Sans Symbols" w:eastAsia="Noto Sans Symbols" w:hAnsi="Noto Sans Symbols" w:cs="Noto Sans Symbols"/>
      </w:rPr>
    </w:lvl>
    <w:lvl w:ilvl="6">
      <w:start w:val="1"/>
      <w:numFmt w:val="bullet"/>
      <w:lvlText w:val="●"/>
      <w:lvlJc w:val="left"/>
      <w:pPr>
        <w:ind w:left="4950" w:hanging="360"/>
      </w:pPr>
      <w:rPr>
        <w:rFonts w:ascii="Noto Sans Symbols" w:eastAsia="Noto Sans Symbols" w:hAnsi="Noto Sans Symbols" w:cs="Noto Sans Symbols"/>
      </w:rPr>
    </w:lvl>
    <w:lvl w:ilvl="7">
      <w:start w:val="1"/>
      <w:numFmt w:val="bullet"/>
      <w:lvlText w:val="o"/>
      <w:lvlJc w:val="left"/>
      <w:pPr>
        <w:ind w:left="5670" w:hanging="360"/>
      </w:pPr>
      <w:rPr>
        <w:rFonts w:ascii="Courier New" w:eastAsia="Courier New" w:hAnsi="Courier New" w:cs="Courier New"/>
      </w:rPr>
    </w:lvl>
    <w:lvl w:ilvl="8">
      <w:start w:val="1"/>
      <w:numFmt w:val="bullet"/>
      <w:lvlText w:val="▪"/>
      <w:lvlJc w:val="left"/>
      <w:pPr>
        <w:ind w:left="6390" w:hanging="360"/>
      </w:pPr>
      <w:rPr>
        <w:rFonts w:ascii="Noto Sans Symbols" w:eastAsia="Noto Sans Symbols" w:hAnsi="Noto Sans Symbols" w:cs="Noto Sans Symbols"/>
      </w:rPr>
    </w:lvl>
  </w:abstractNum>
  <w:abstractNum w:abstractNumId="77" w15:restartNumberingAfterBreak="0">
    <w:nsid w:val="61E715E7"/>
    <w:multiLevelType w:val="multilevel"/>
    <w:tmpl w:val="ED36CB6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8" w15:restartNumberingAfterBreak="0">
    <w:nsid w:val="65B17867"/>
    <w:multiLevelType w:val="multilevel"/>
    <w:tmpl w:val="B6BCCDB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9" w15:restartNumberingAfterBreak="0">
    <w:nsid w:val="67353BA9"/>
    <w:multiLevelType w:val="multilevel"/>
    <w:tmpl w:val="F826597C"/>
    <w:lvl w:ilvl="0">
      <w:start w:val="1"/>
      <w:numFmt w:val="bullet"/>
      <w:lvlText w:val="●"/>
      <w:lvlJc w:val="left"/>
      <w:pPr>
        <w:ind w:left="630" w:hanging="360"/>
      </w:pPr>
      <w:rPr>
        <w:rFonts w:ascii="Noto Sans Symbols" w:eastAsia="Noto Sans Symbols" w:hAnsi="Noto Sans Symbols" w:cs="Noto Sans Symbols"/>
      </w:rPr>
    </w:lvl>
    <w:lvl w:ilvl="1">
      <w:start w:val="1"/>
      <w:numFmt w:val="bullet"/>
      <w:lvlText w:val="o"/>
      <w:lvlJc w:val="left"/>
      <w:pPr>
        <w:ind w:left="1350" w:hanging="360"/>
      </w:pPr>
      <w:rPr>
        <w:rFonts w:ascii="Courier New" w:eastAsia="Courier New" w:hAnsi="Courier New" w:cs="Courier New"/>
      </w:rPr>
    </w:lvl>
    <w:lvl w:ilvl="2">
      <w:start w:val="1"/>
      <w:numFmt w:val="bullet"/>
      <w:lvlText w:val="▪"/>
      <w:lvlJc w:val="left"/>
      <w:pPr>
        <w:ind w:left="2070" w:hanging="360"/>
      </w:pPr>
      <w:rPr>
        <w:rFonts w:ascii="Noto Sans Symbols" w:eastAsia="Noto Sans Symbols" w:hAnsi="Noto Sans Symbols" w:cs="Noto Sans Symbols"/>
      </w:rPr>
    </w:lvl>
    <w:lvl w:ilvl="3">
      <w:start w:val="1"/>
      <w:numFmt w:val="bullet"/>
      <w:lvlText w:val="●"/>
      <w:lvlJc w:val="left"/>
      <w:pPr>
        <w:ind w:left="2790" w:hanging="360"/>
      </w:pPr>
      <w:rPr>
        <w:rFonts w:ascii="Noto Sans Symbols" w:eastAsia="Noto Sans Symbols" w:hAnsi="Noto Sans Symbols" w:cs="Noto Sans Symbols"/>
      </w:rPr>
    </w:lvl>
    <w:lvl w:ilvl="4">
      <w:start w:val="1"/>
      <w:numFmt w:val="bullet"/>
      <w:lvlText w:val="o"/>
      <w:lvlJc w:val="left"/>
      <w:pPr>
        <w:ind w:left="3510" w:hanging="360"/>
      </w:pPr>
      <w:rPr>
        <w:rFonts w:ascii="Courier New" w:eastAsia="Courier New" w:hAnsi="Courier New" w:cs="Courier New"/>
      </w:rPr>
    </w:lvl>
    <w:lvl w:ilvl="5">
      <w:start w:val="1"/>
      <w:numFmt w:val="bullet"/>
      <w:lvlText w:val="▪"/>
      <w:lvlJc w:val="left"/>
      <w:pPr>
        <w:ind w:left="4230" w:hanging="360"/>
      </w:pPr>
      <w:rPr>
        <w:rFonts w:ascii="Noto Sans Symbols" w:eastAsia="Noto Sans Symbols" w:hAnsi="Noto Sans Symbols" w:cs="Noto Sans Symbols"/>
      </w:rPr>
    </w:lvl>
    <w:lvl w:ilvl="6">
      <w:start w:val="1"/>
      <w:numFmt w:val="bullet"/>
      <w:lvlText w:val="●"/>
      <w:lvlJc w:val="left"/>
      <w:pPr>
        <w:ind w:left="4950" w:hanging="360"/>
      </w:pPr>
      <w:rPr>
        <w:rFonts w:ascii="Noto Sans Symbols" w:eastAsia="Noto Sans Symbols" w:hAnsi="Noto Sans Symbols" w:cs="Noto Sans Symbols"/>
      </w:rPr>
    </w:lvl>
    <w:lvl w:ilvl="7">
      <w:start w:val="1"/>
      <w:numFmt w:val="bullet"/>
      <w:lvlText w:val="o"/>
      <w:lvlJc w:val="left"/>
      <w:pPr>
        <w:ind w:left="5670" w:hanging="360"/>
      </w:pPr>
      <w:rPr>
        <w:rFonts w:ascii="Courier New" w:eastAsia="Courier New" w:hAnsi="Courier New" w:cs="Courier New"/>
      </w:rPr>
    </w:lvl>
    <w:lvl w:ilvl="8">
      <w:start w:val="1"/>
      <w:numFmt w:val="bullet"/>
      <w:lvlText w:val="▪"/>
      <w:lvlJc w:val="left"/>
      <w:pPr>
        <w:ind w:left="6390" w:hanging="360"/>
      </w:pPr>
      <w:rPr>
        <w:rFonts w:ascii="Noto Sans Symbols" w:eastAsia="Noto Sans Symbols" w:hAnsi="Noto Sans Symbols" w:cs="Noto Sans Symbols"/>
      </w:rPr>
    </w:lvl>
  </w:abstractNum>
  <w:abstractNum w:abstractNumId="80" w15:restartNumberingAfterBreak="0">
    <w:nsid w:val="69413F42"/>
    <w:multiLevelType w:val="multilevel"/>
    <w:tmpl w:val="1938F526"/>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81" w15:restartNumberingAfterBreak="0">
    <w:nsid w:val="6CAC4411"/>
    <w:multiLevelType w:val="multilevel"/>
    <w:tmpl w:val="E24066B4"/>
    <w:lvl w:ilvl="0">
      <w:start w:val="1"/>
      <w:numFmt w:val="upp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2" w15:restartNumberingAfterBreak="0">
    <w:nsid w:val="6CB77786"/>
    <w:multiLevelType w:val="multilevel"/>
    <w:tmpl w:val="52B8E350"/>
    <w:lvl w:ilvl="0">
      <w:start w:val="1"/>
      <w:numFmt w:val="bullet"/>
      <w:lvlText w:val="●"/>
      <w:lvlJc w:val="left"/>
      <w:pPr>
        <w:ind w:left="630" w:hanging="360"/>
      </w:pPr>
      <w:rPr>
        <w:rFonts w:ascii="Noto Sans Symbols" w:eastAsia="Noto Sans Symbols" w:hAnsi="Noto Sans Symbols" w:cs="Noto Sans Symbols"/>
      </w:rPr>
    </w:lvl>
    <w:lvl w:ilvl="1">
      <w:start w:val="1"/>
      <w:numFmt w:val="bullet"/>
      <w:lvlText w:val="o"/>
      <w:lvlJc w:val="left"/>
      <w:pPr>
        <w:ind w:left="1350" w:hanging="360"/>
      </w:pPr>
      <w:rPr>
        <w:rFonts w:ascii="Courier New" w:eastAsia="Courier New" w:hAnsi="Courier New" w:cs="Courier New"/>
      </w:rPr>
    </w:lvl>
    <w:lvl w:ilvl="2">
      <w:start w:val="1"/>
      <w:numFmt w:val="bullet"/>
      <w:lvlText w:val="▪"/>
      <w:lvlJc w:val="left"/>
      <w:pPr>
        <w:ind w:left="2070" w:hanging="360"/>
      </w:pPr>
      <w:rPr>
        <w:rFonts w:ascii="Noto Sans Symbols" w:eastAsia="Noto Sans Symbols" w:hAnsi="Noto Sans Symbols" w:cs="Noto Sans Symbols"/>
      </w:rPr>
    </w:lvl>
    <w:lvl w:ilvl="3">
      <w:start w:val="1"/>
      <w:numFmt w:val="bullet"/>
      <w:lvlText w:val="●"/>
      <w:lvlJc w:val="left"/>
      <w:pPr>
        <w:ind w:left="2790" w:hanging="360"/>
      </w:pPr>
      <w:rPr>
        <w:rFonts w:ascii="Noto Sans Symbols" w:eastAsia="Noto Sans Symbols" w:hAnsi="Noto Sans Symbols" w:cs="Noto Sans Symbols"/>
      </w:rPr>
    </w:lvl>
    <w:lvl w:ilvl="4">
      <w:start w:val="1"/>
      <w:numFmt w:val="bullet"/>
      <w:lvlText w:val="o"/>
      <w:lvlJc w:val="left"/>
      <w:pPr>
        <w:ind w:left="3510" w:hanging="360"/>
      </w:pPr>
      <w:rPr>
        <w:rFonts w:ascii="Courier New" w:eastAsia="Courier New" w:hAnsi="Courier New" w:cs="Courier New"/>
      </w:rPr>
    </w:lvl>
    <w:lvl w:ilvl="5">
      <w:start w:val="1"/>
      <w:numFmt w:val="bullet"/>
      <w:lvlText w:val="▪"/>
      <w:lvlJc w:val="left"/>
      <w:pPr>
        <w:ind w:left="4230" w:hanging="360"/>
      </w:pPr>
      <w:rPr>
        <w:rFonts w:ascii="Noto Sans Symbols" w:eastAsia="Noto Sans Symbols" w:hAnsi="Noto Sans Symbols" w:cs="Noto Sans Symbols"/>
      </w:rPr>
    </w:lvl>
    <w:lvl w:ilvl="6">
      <w:start w:val="1"/>
      <w:numFmt w:val="bullet"/>
      <w:lvlText w:val="●"/>
      <w:lvlJc w:val="left"/>
      <w:pPr>
        <w:ind w:left="4950" w:hanging="360"/>
      </w:pPr>
      <w:rPr>
        <w:rFonts w:ascii="Noto Sans Symbols" w:eastAsia="Noto Sans Symbols" w:hAnsi="Noto Sans Symbols" w:cs="Noto Sans Symbols"/>
      </w:rPr>
    </w:lvl>
    <w:lvl w:ilvl="7">
      <w:start w:val="1"/>
      <w:numFmt w:val="bullet"/>
      <w:lvlText w:val="o"/>
      <w:lvlJc w:val="left"/>
      <w:pPr>
        <w:ind w:left="5670" w:hanging="360"/>
      </w:pPr>
      <w:rPr>
        <w:rFonts w:ascii="Courier New" w:eastAsia="Courier New" w:hAnsi="Courier New" w:cs="Courier New"/>
      </w:rPr>
    </w:lvl>
    <w:lvl w:ilvl="8">
      <w:start w:val="1"/>
      <w:numFmt w:val="bullet"/>
      <w:lvlText w:val="▪"/>
      <w:lvlJc w:val="left"/>
      <w:pPr>
        <w:ind w:left="6390" w:hanging="360"/>
      </w:pPr>
      <w:rPr>
        <w:rFonts w:ascii="Noto Sans Symbols" w:eastAsia="Noto Sans Symbols" w:hAnsi="Noto Sans Symbols" w:cs="Noto Sans Symbols"/>
      </w:rPr>
    </w:lvl>
  </w:abstractNum>
  <w:abstractNum w:abstractNumId="83" w15:restartNumberingAfterBreak="0">
    <w:nsid w:val="6DA80BDE"/>
    <w:multiLevelType w:val="multilevel"/>
    <w:tmpl w:val="EC645FEA"/>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84" w15:restartNumberingAfterBreak="0">
    <w:nsid w:val="6ECC51B9"/>
    <w:multiLevelType w:val="multilevel"/>
    <w:tmpl w:val="CAA0056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5" w15:restartNumberingAfterBreak="0">
    <w:nsid w:val="703E3A17"/>
    <w:multiLevelType w:val="multilevel"/>
    <w:tmpl w:val="A80E8F4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6" w15:restartNumberingAfterBreak="0">
    <w:nsid w:val="72050224"/>
    <w:multiLevelType w:val="multilevel"/>
    <w:tmpl w:val="91E8FC7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7" w15:restartNumberingAfterBreak="0">
    <w:nsid w:val="73CC3328"/>
    <w:multiLevelType w:val="multilevel"/>
    <w:tmpl w:val="6292F324"/>
    <w:lvl w:ilvl="0">
      <w:start w:val="1"/>
      <w:numFmt w:val="bullet"/>
      <w:lvlText w:val="●"/>
      <w:lvlJc w:val="left"/>
      <w:pPr>
        <w:ind w:left="630" w:hanging="360"/>
      </w:pPr>
      <w:rPr>
        <w:rFonts w:ascii="Noto Sans Symbols" w:eastAsia="Noto Sans Symbols" w:hAnsi="Noto Sans Symbols" w:cs="Noto Sans Symbols"/>
      </w:rPr>
    </w:lvl>
    <w:lvl w:ilvl="1">
      <w:start w:val="1"/>
      <w:numFmt w:val="bullet"/>
      <w:lvlText w:val="o"/>
      <w:lvlJc w:val="left"/>
      <w:pPr>
        <w:ind w:left="1350" w:hanging="360"/>
      </w:pPr>
      <w:rPr>
        <w:rFonts w:ascii="Courier New" w:eastAsia="Courier New" w:hAnsi="Courier New" w:cs="Courier New"/>
      </w:rPr>
    </w:lvl>
    <w:lvl w:ilvl="2">
      <w:start w:val="1"/>
      <w:numFmt w:val="bullet"/>
      <w:lvlText w:val="▪"/>
      <w:lvlJc w:val="left"/>
      <w:pPr>
        <w:ind w:left="2070" w:hanging="360"/>
      </w:pPr>
      <w:rPr>
        <w:rFonts w:ascii="Noto Sans Symbols" w:eastAsia="Noto Sans Symbols" w:hAnsi="Noto Sans Symbols" w:cs="Noto Sans Symbols"/>
      </w:rPr>
    </w:lvl>
    <w:lvl w:ilvl="3">
      <w:start w:val="1"/>
      <w:numFmt w:val="bullet"/>
      <w:lvlText w:val="●"/>
      <w:lvlJc w:val="left"/>
      <w:pPr>
        <w:ind w:left="2790" w:hanging="360"/>
      </w:pPr>
      <w:rPr>
        <w:rFonts w:ascii="Noto Sans Symbols" w:eastAsia="Noto Sans Symbols" w:hAnsi="Noto Sans Symbols" w:cs="Noto Sans Symbols"/>
      </w:rPr>
    </w:lvl>
    <w:lvl w:ilvl="4">
      <w:start w:val="1"/>
      <w:numFmt w:val="bullet"/>
      <w:lvlText w:val="o"/>
      <w:lvlJc w:val="left"/>
      <w:pPr>
        <w:ind w:left="3510" w:hanging="360"/>
      </w:pPr>
      <w:rPr>
        <w:rFonts w:ascii="Courier New" w:eastAsia="Courier New" w:hAnsi="Courier New" w:cs="Courier New"/>
      </w:rPr>
    </w:lvl>
    <w:lvl w:ilvl="5">
      <w:start w:val="1"/>
      <w:numFmt w:val="bullet"/>
      <w:lvlText w:val="▪"/>
      <w:lvlJc w:val="left"/>
      <w:pPr>
        <w:ind w:left="4230" w:hanging="360"/>
      </w:pPr>
      <w:rPr>
        <w:rFonts w:ascii="Noto Sans Symbols" w:eastAsia="Noto Sans Symbols" w:hAnsi="Noto Sans Symbols" w:cs="Noto Sans Symbols"/>
      </w:rPr>
    </w:lvl>
    <w:lvl w:ilvl="6">
      <w:start w:val="1"/>
      <w:numFmt w:val="bullet"/>
      <w:lvlText w:val="●"/>
      <w:lvlJc w:val="left"/>
      <w:pPr>
        <w:ind w:left="4950" w:hanging="360"/>
      </w:pPr>
      <w:rPr>
        <w:rFonts w:ascii="Noto Sans Symbols" w:eastAsia="Noto Sans Symbols" w:hAnsi="Noto Sans Symbols" w:cs="Noto Sans Symbols"/>
      </w:rPr>
    </w:lvl>
    <w:lvl w:ilvl="7">
      <w:start w:val="1"/>
      <w:numFmt w:val="bullet"/>
      <w:lvlText w:val="o"/>
      <w:lvlJc w:val="left"/>
      <w:pPr>
        <w:ind w:left="5670" w:hanging="360"/>
      </w:pPr>
      <w:rPr>
        <w:rFonts w:ascii="Courier New" w:eastAsia="Courier New" w:hAnsi="Courier New" w:cs="Courier New"/>
      </w:rPr>
    </w:lvl>
    <w:lvl w:ilvl="8">
      <w:start w:val="1"/>
      <w:numFmt w:val="bullet"/>
      <w:lvlText w:val="▪"/>
      <w:lvlJc w:val="left"/>
      <w:pPr>
        <w:ind w:left="6390" w:hanging="360"/>
      </w:pPr>
      <w:rPr>
        <w:rFonts w:ascii="Noto Sans Symbols" w:eastAsia="Noto Sans Symbols" w:hAnsi="Noto Sans Symbols" w:cs="Noto Sans Symbols"/>
      </w:rPr>
    </w:lvl>
  </w:abstractNum>
  <w:abstractNum w:abstractNumId="88" w15:restartNumberingAfterBreak="0">
    <w:nsid w:val="74C45AB3"/>
    <w:multiLevelType w:val="multilevel"/>
    <w:tmpl w:val="B4F493F4"/>
    <w:lvl w:ilvl="0">
      <w:start w:val="1"/>
      <w:numFmt w:val="bullet"/>
      <w:lvlText w:val="●"/>
      <w:lvlJc w:val="left"/>
      <w:pPr>
        <w:ind w:left="630" w:hanging="360"/>
      </w:pPr>
      <w:rPr>
        <w:rFonts w:ascii="Noto Sans Symbols" w:eastAsia="Noto Sans Symbols" w:hAnsi="Noto Sans Symbols" w:cs="Noto Sans Symbols"/>
      </w:rPr>
    </w:lvl>
    <w:lvl w:ilvl="1">
      <w:start w:val="1"/>
      <w:numFmt w:val="bullet"/>
      <w:lvlText w:val="o"/>
      <w:lvlJc w:val="left"/>
      <w:pPr>
        <w:ind w:left="1350" w:hanging="360"/>
      </w:pPr>
      <w:rPr>
        <w:rFonts w:ascii="Courier New" w:eastAsia="Courier New" w:hAnsi="Courier New" w:cs="Courier New"/>
      </w:rPr>
    </w:lvl>
    <w:lvl w:ilvl="2">
      <w:start w:val="1"/>
      <w:numFmt w:val="bullet"/>
      <w:lvlText w:val="▪"/>
      <w:lvlJc w:val="left"/>
      <w:pPr>
        <w:ind w:left="2070" w:hanging="360"/>
      </w:pPr>
      <w:rPr>
        <w:rFonts w:ascii="Noto Sans Symbols" w:eastAsia="Noto Sans Symbols" w:hAnsi="Noto Sans Symbols" w:cs="Noto Sans Symbols"/>
      </w:rPr>
    </w:lvl>
    <w:lvl w:ilvl="3">
      <w:start w:val="1"/>
      <w:numFmt w:val="bullet"/>
      <w:lvlText w:val="●"/>
      <w:lvlJc w:val="left"/>
      <w:pPr>
        <w:ind w:left="2790" w:hanging="360"/>
      </w:pPr>
      <w:rPr>
        <w:rFonts w:ascii="Noto Sans Symbols" w:eastAsia="Noto Sans Symbols" w:hAnsi="Noto Sans Symbols" w:cs="Noto Sans Symbols"/>
      </w:rPr>
    </w:lvl>
    <w:lvl w:ilvl="4">
      <w:start w:val="1"/>
      <w:numFmt w:val="bullet"/>
      <w:lvlText w:val="o"/>
      <w:lvlJc w:val="left"/>
      <w:pPr>
        <w:ind w:left="3510" w:hanging="360"/>
      </w:pPr>
      <w:rPr>
        <w:rFonts w:ascii="Courier New" w:eastAsia="Courier New" w:hAnsi="Courier New" w:cs="Courier New"/>
      </w:rPr>
    </w:lvl>
    <w:lvl w:ilvl="5">
      <w:start w:val="1"/>
      <w:numFmt w:val="bullet"/>
      <w:lvlText w:val="▪"/>
      <w:lvlJc w:val="left"/>
      <w:pPr>
        <w:ind w:left="4230" w:hanging="360"/>
      </w:pPr>
      <w:rPr>
        <w:rFonts w:ascii="Noto Sans Symbols" w:eastAsia="Noto Sans Symbols" w:hAnsi="Noto Sans Symbols" w:cs="Noto Sans Symbols"/>
      </w:rPr>
    </w:lvl>
    <w:lvl w:ilvl="6">
      <w:start w:val="1"/>
      <w:numFmt w:val="bullet"/>
      <w:lvlText w:val="●"/>
      <w:lvlJc w:val="left"/>
      <w:pPr>
        <w:ind w:left="4950" w:hanging="360"/>
      </w:pPr>
      <w:rPr>
        <w:rFonts w:ascii="Noto Sans Symbols" w:eastAsia="Noto Sans Symbols" w:hAnsi="Noto Sans Symbols" w:cs="Noto Sans Symbols"/>
      </w:rPr>
    </w:lvl>
    <w:lvl w:ilvl="7">
      <w:start w:val="1"/>
      <w:numFmt w:val="bullet"/>
      <w:lvlText w:val="o"/>
      <w:lvlJc w:val="left"/>
      <w:pPr>
        <w:ind w:left="5670" w:hanging="360"/>
      </w:pPr>
      <w:rPr>
        <w:rFonts w:ascii="Courier New" w:eastAsia="Courier New" w:hAnsi="Courier New" w:cs="Courier New"/>
      </w:rPr>
    </w:lvl>
    <w:lvl w:ilvl="8">
      <w:start w:val="1"/>
      <w:numFmt w:val="bullet"/>
      <w:lvlText w:val="▪"/>
      <w:lvlJc w:val="left"/>
      <w:pPr>
        <w:ind w:left="6390" w:hanging="360"/>
      </w:pPr>
      <w:rPr>
        <w:rFonts w:ascii="Noto Sans Symbols" w:eastAsia="Noto Sans Symbols" w:hAnsi="Noto Sans Symbols" w:cs="Noto Sans Symbols"/>
      </w:rPr>
    </w:lvl>
  </w:abstractNum>
  <w:abstractNum w:abstractNumId="89" w15:restartNumberingAfterBreak="0">
    <w:nsid w:val="763D6658"/>
    <w:multiLevelType w:val="multilevel"/>
    <w:tmpl w:val="3216C11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0" w15:restartNumberingAfterBreak="0">
    <w:nsid w:val="7706007D"/>
    <w:multiLevelType w:val="multilevel"/>
    <w:tmpl w:val="D2B050EA"/>
    <w:lvl w:ilvl="0">
      <w:start w:val="1"/>
      <w:numFmt w:val="upp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1" w15:restartNumberingAfterBreak="0">
    <w:nsid w:val="778B5649"/>
    <w:multiLevelType w:val="multilevel"/>
    <w:tmpl w:val="F8047756"/>
    <w:lvl w:ilvl="0">
      <w:start w:val="1"/>
      <w:numFmt w:val="bullet"/>
      <w:lvlText w:val="●"/>
      <w:lvlJc w:val="left"/>
      <w:pPr>
        <w:ind w:left="630" w:hanging="360"/>
      </w:pPr>
      <w:rPr>
        <w:rFonts w:ascii="Noto Sans Symbols" w:eastAsia="Noto Sans Symbols" w:hAnsi="Noto Sans Symbols" w:cs="Noto Sans Symbols"/>
      </w:rPr>
    </w:lvl>
    <w:lvl w:ilvl="1">
      <w:start w:val="1"/>
      <w:numFmt w:val="bullet"/>
      <w:lvlText w:val="o"/>
      <w:lvlJc w:val="left"/>
      <w:pPr>
        <w:ind w:left="1350" w:hanging="360"/>
      </w:pPr>
      <w:rPr>
        <w:rFonts w:ascii="Courier New" w:eastAsia="Courier New" w:hAnsi="Courier New" w:cs="Courier New"/>
      </w:rPr>
    </w:lvl>
    <w:lvl w:ilvl="2">
      <w:start w:val="1"/>
      <w:numFmt w:val="bullet"/>
      <w:lvlText w:val="▪"/>
      <w:lvlJc w:val="left"/>
      <w:pPr>
        <w:ind w:left="2070" w:hanging="360"/>
      </w:pPr>
      <w:rPr>
        <w:rFonts w:ascii="Noto Sans Symbols" w:eastAsia="Noto Sans Symbols" w:hAnsi="Noto Sans Symbols" w:cs="Noto Sans Symbols"/>
      </w:rPr>
    </w:lvl>
    <w:lvl w:ilvl="3">
      <w:start w:val="1"/>
      <w:numFmt w:val="bullet"/>
      <w:lvlText w:val="●"/>
      <w:lvlJc w:val="left"/>
      <w:pPr>
        <w:ind w:left="2790" w:hanging="360"/>
      </w:pPr>
      <w:rPr>
        <w:rFonts w:ascii="Noto Sans Symbols" w:eastAsia="Noto Sans Symbols" w:hAnsi="Noto Sans Symbols" w:cs="Noto Sans Symbols"/>
      </w:rPr>
    </w:lvl>
    <w:lvl w:ilvl="4">
      <w:start w:val="1"/>
      <w:numFmt w:val="bullet"/>
      <w:lvlText w:val="o"/>
      <w:lvlJc w:val="left"/>
      <w:pPr>
        <w:ind w:left="3510" w:hanging="360"/>
      </w:pPr>
      <w:rPr>
        <w:rFonts w:ascii="Courier New" w:eastAsia="Courier New" w:hAnsi="Courier New" w:cs="Courier New"/>
      </w:rPr>
    </w:lvl>
    <w:lvl w:ilvl="5">
      <w:start w:val="1"/>
      <w:numFmt w:val="bullet"/>
      <w:lvlText w:val="▪"/>
      <w:lvlJc w:val="left"/>
      <w:pPr>
        <w:ind w:left="4230" w:hanging="360"/>
      </w:pPr>
      <w:rPr>
        <w:rFonts w:ascii="Noto Sans Symbols" w:eastAsia="Noto Sans Symbols" w:hAnsi="Noto Sans Symbols" w:cs="Noto Sans Symbols"/>
      </w:rPr>
    </w:lvl>
    <w:lvl w:ilvl="6">
      <w:start w:val="1"/>
      <w:numFmt w:val="bullet"/>
      <w:lvlText w:val="●"/>
      <w:lvlJc w:val="left"/>
      <w:pPr>
        <w:ind w:left="4950" w:hanging="360"/>
      </w:pPr>
      <w:rPr>
        <w:rFonts w:ascii="Noto Sans Symbols" w:eastAsia="Noto Sans Symbols" w:hAnsi="Noto Sans Symbols" w:cs="Noto Sans Symbols"/>
      </w:rPr>
    </w:lvl>
    <w:lvl w:ilvl="7">
      <w:start w:val="1"/>
      <w:numFmt w:val="bullet"/>
      <w:lvlText w:val="o"/>
      <w:lvlJc w:val="left"/>
      <w:pPr>
        <w:ind w:left="5670" w:hanging="360"/>
      </w:pPr>
      <w:rPr>
        <w:rFonts w:ascii="Courier New" w:eastAsia="Courier New" w:hAnsi="Courier New" w:cs="Courier New"/>
      </w:rPr>
    </w:lvl>
    <w:lvl w:ilvl="8">
      <w:start w:val="1"/>
      <w:numFmt w:val="bullet"/>
      <w:lvlText w:val="▪"/>
      <w:lvlJc w:val="left"/>
      <w:pPr>
        <w:ind w:left="6390" w:hanging="360"/>
      </w:pPr>
      <w:rPr>
        <w:rFonts w:ascii="Noto Sans Symbols" w:eastAsia="Noto Sans Symbols" w:hAnsi="Noto Sans Symbols" w:cs="Noto Sans Symbols"/>
      </w:rPr>
    </w:lvl>
  </w:abstractNum>
  <w:abstractNum w:abstractNumId="92" w15:restartNumberingAfterBreak="0">
    <w:nsid w:val="77F94D30"/>
    <w:multiLevelType w:val="multilevel"/>
    <w:tmpl w:val="D2A0F2B2"/>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3" w15:restartNumberingAfterBreak="0">
    <w:nsid w:val="789409BD"/>
    <w:multiLevelType w:val="multilevel"/>
    <w:tmpl w:val="7D9C4FB6"/>
    <w:lvl w:ilvl="0">
      <w:start w:val="1"/>
      <w:numFmt w:val="bullet"/>
      <w:lvlText w:val="●"/>
      <w:lvlJc w:val="left"/>
      <w:pPr>
        <w:ind w:left="630" w:hanging="360"/>
      </w:pPr>
      <w:rPr>
        <w:rFonts w:ascii="Noto Sans Symbols" w:eastAsia="Noto Sans Symbols" w:hAnsi="Noto Sans Symbols" w:cs="Noto Sans Symbols"/>
      </w:rPr>
    </w:lvl>
    <w:lvl w:ilvl="1">
      <w:start w:val="1"/>
      <w:numFmt w:val="bullet"/>
      <w:lvlText w:val="o"/>
      <w:lvlJc w:val="left"/>
      <w:pPr>
        <w:ind w:left="1350" w:hanging="360"/>
      </w:pPr>
      <w:rPr>
        <w:rFonts w:ascii="Courier New" w:eastAsia="Courier New" w:hAnsi="Courier New" w:cs="Courier New"/>
      </w:rPr>
    </w:lvl>
    <w:lvl w:ilvl="2">
      <w:start w:val="1"/>
      <w:numFmt w:val="bullet"/>
      <w:lvlText w:val="▪"/>
      <w:lvlJc w:val="left"/>
      <w:pPr>
        <w:ind w:left="2070" w:hanging="360"/>
      </w:pPr>
      <w:rPr>
        <w:rFonts w:ascii="Noto Sans Symbols" w:eastAsia="Noto Sans Symbols" w:hAnsi="Noto Sans Symbols" w:cs="Noto Sans Symbols"/>
      </w:rPr>
    </w:lvl>
    <w:lvl w:ilvl="3">
      <w:start w:val="1"/>
      <w:numFmt w:val="bullet"/>
      <w:lvlText w:val="●"/>
      <w:lvlJc w:val="left"/>
      <w:pPr>
        <w:ind w:left="2790" w:hanging="360"/>
      </w:pPr>
      <w:rPr>
        <w:rFonts w:ascii="Noto Sans Symbols" w:eastAsia="Noto Sans Symbols" w:hAnsi="Noto Sans Symbols" w:cs="Noto Sans Symbols"/>
      </w:rPr>
    </w:lvl>
    <w:lvl w:ilvl="4">
      <w:start w:val="1"/>
      <w:numFmt w:val="bullet"/>
      <w:lvlText w:val="o"/>
      <w:lvlJc w:val="left"/>
      <w:pPr>
        <w:ind w:left="3510" w:hanging="360"/>
      </w:pPr>
      <w:rPr>
        <w:rFonts w:ascii="Courier New" w:eastAsia="Courier New" w:hAnsi="Courier New" w:cs="Courier New"/>
      </w:rPr>
    </w:lvl>
    <w:lvl w:ilvl="5">
      <w:start w:val="1"/>
      <w:numFmt w:val="bullet"/>
      <w:lvlText w:val="▪"/>
      <w:lvlJc w:val="left"/>
      <w:pPr>
        <w:ind w:left="4230" w:hanging="360"/>
      </w:pPr>
      <w:rPr>
        <w:rFonts w:ascii="Noto Sans Symbols" w:eastAsia="Noto Sans Symbols" w:hAnsi="Noto Sans Symbols" w:cs="Noto Sans Symbols"/>
      </w:rPr>
    </w:lvl>
    <w:lvl w:ilvl="6">
      <w:start w:val="1"/>
      <w:numFmt w:val="bullet"/>
      <w:lvlText w:val="●"/>
      <w:lvlJc w:val="left"/>
      <w:pPr>
        <w:ind w:left="4950" w:hanging="360"/>
      </w:pPr>
      <w:rPr>
        <w:rFonts w:ascii="Noto Sans Symbols" w:eastAsia="Noto Sans Symbols" w:hAnsi="Noto Sans Symbols" w:cs="Noto Sans Symbols"/>
      </w:rPr>
    </w:lvl>
    <w:lvl w:ilvl="7">
      <w:start w:val="1"/>
      <w:numFmt w:val="bullet"/>
      <w:lvlText w:val="o"/>
      <w:lvlJc w:val="left"/>
      <w:pPr>
        <w:ind w:left="5670" w:hanging="360"/>
      </w:pPr>
      <w:rPr>
        <w:rFonts w:ascii="Courier New" w:eastAsia="Courier New" w:hAnsi="Courier New" w:cs="Courier New"/>
      </w:rPr>
    </w:lvl>
    <w:lvl w:ilvl="8">
      <w:start w:val="1"/>
      <w:numFmt w:val="bullet"/>
      <w:lvlText w:val="▪"/>
      <w:lvlJc w:val="left"/>
      <w:pPr>
        <w:ind w:left="6390" w:hanging="360"/>
      </w:pPr>
      <w:rPr>
        <w:rFonts w:ascii="Noto Sans Symbols" w:eastAsia="Noto Sans Symbols" w:hAnsi="Noto Sans Symbols" w:cs="Noto Sans Symbols"/>
      </w:rPr>
    </w:lvl>
  </w:abstractNum>
  <w:abstractNum w:abstractNumId="94" w15:restartNumberingAfterBreak="0">
    <w:nsid w:val="78BC10C4"/>
    <w:multiLevelType w:val="multilevel"/>
    <w:tmpl w:val="C7B2726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5" w15:restartNumberingAfterBreak="0">
    <w:nsid w:val="7E8A59A7"/>
    <w:multiLevelType w:val="multilevel"/>
    <w:tmpl w:val="2E306CB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6" w15:restartNumberingAfterBreak="0">
    <w:nsid w:val="7FAD64CC"/>
    <w:multiLevelType w:val="hybridMultilevel"/>
    <w:tmpl w:val="4D60B6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7" w15:restartNumberingAfterBreak="0">
    <w:nsid w:val="7FC1640B"/>
    <w:multiLevelType w:val="multilevel"/>
    <w:tmpl w:val="74160FA8"/>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98" w15:restartNumberingAfterBreak="0">
    <w:nsid w:val="7FC452F7"/>
    <w:multiLevelType w:val="multilevel"/>
    <w:tmpl w:val="499C538C"/>
    <w:lvl w:ilvl="0">
      <w:start w:val="1"/>
      <w:numFmt w:val="bullet"/>
      <w:lvlText w:val="●"/>
      <w:lvlJc w:val="left"/>
      <w:pPr>
        <w:ind w:left="630" w:hanging="360"/>
      </w:pPr>
      <w:rPr>
        <w:rFonts w:ascii="Noto Sans Symbols" w:eastAsia="Noto Sans Symbols" w:hAnsi="Noto Sans Symbols" w:cs="Noto Sans Symbols"/>
      </w:rPr>
    </w:lvl>
    <w:lvl w:ilvl="1">
      <w:start w:val="1"/>
      <w:numFmt w:val="bullet"/>
      <w:lvlText w:val="o"/>
      <w:lvlJc w:val="left"/>
      <w:pPr>
        <w:ind w:left="1350" w:hanging="360"/>
      </w:pPr>
      <w:rPr>
        <w:rFonts w:ascii="Courier New" w:eastAsia="Courier New" w:hAnsi="Courier New" w:cs="Courier New"/>
      </w:rPr>
    </w:lvl>
    <w:lvl w:ilvl="2">
      <w:start w:val="1"/>
      <w:numFmt w:val="bullet"/>
      <w:lvlText w:val="▪"/>
      <w:lvlJc w:val="left"/>
      <w:pPr>
        <w:ind w:left="2070" w:hanging="360"/>
      </w:pPr>
      <w:rPr>
        <w:rFonts w:ascii="Noto Sans Symbols" w:eastAsia="Noto Sans Symbols" w:hAnsi="Noto Sans Symbols" w:cs="Noto Sans Symbols"/>
      </w:rPr>
    </w:lvl>
    <w:lvl w:ilvl="3">
      <w:start w:val="1"/>
      <w:numFmt w:val="bullet"/>
      <w:lvlText w:val="●"/>
      <w:lvlJc w:val="left"/>
      <w:pPr>
        <w:ind w:left="2790" w:hanging="360"/>
      </w:pPr>
      <w:rPr>
        <w:rFonts w:ascii="Noto Sans Symbols" w:eastAsia="Noto Sans Symbols" w:hAnsi="Noto Sans Symbols" w:cs="Noto Sans Symbols"/>
      </w:rPr>
    </w:lvl>
    <w:lvl w:ilvl="4">
      <w:start w:val="1"/>
      <w:numFmt w:val="bullet"/>
      <w:lvlText w:val="o"/>
      <w:lvlJc w:val="left"/>
      <w:pPr>
        <w:ind w:left="3510" w:hanging="360"/>
      </w:pPr>
      <w:rPr>
        <w:rFonts w:ascii="Courier New" w:eastAsia="Courier New" w:hAnsi="Courier New" w:cs="Courier New"/>
      </w:rPr>
    </w:lvl>
    <w:lvl w:ilvl="5">
      <w:start w:val="1"/>
      <w:numFmt w:val="bullet"/>
      <w:lvlText w:val="▪"/>
      <w:lvlJc w:val="left"/>
      <w:pPr>
        <w:ind w:left="4230" w:hanging="360"/>
      </w:pPr>
      <w:rPr>
        <w:rFonts w:ascii="Noto Sans Symbols" w:eastAsia="Noto Sans Symbols" w:hAnsi="Noto Sans Symbols" w:cs="Noto Sans Symbols"/>
      </w:rPr>
    </w:lvl>
    <w:lvl w:ilvl="6">
      <w:start w:val="1"/>
      <w:numFmt w:val="bullet"/>
      <w:lvlText w:val="●"/>
      <w:lvlJc w:val="left"/>
      <w:pPr>
        <w:ind w:left="4950" w:hanging="360"/>
      </w:pPr>
      <w:rPr>
        <w:rFonts w:ascii="Noto Sans Symbols" w:eastAsia="Noto Sans Symbols" w:hAnsi="Noto Sans Symbols" w:cs="Noto Sans Symbols"/>
      </w:rPr>
    </w:lvl>
    <w:lvl w:ilvl="7">
      <w:start w:val="1"/>
      <w:numFmt w:val="bullet"/>
      <w:lvlText w:val="o"/>
      <w:lvlJc w:val="left"/>
      <w:pPr>
        <w:ind w:left="5670" w:hanging="360"/>
      </w:pPr>
      <w:rPr>
        <w:rFonts w:ascii="Courier New" w:eastAsia="Courier New" w:hAnsi="Courier New" w:cs="Courier New"/>
      </w:rPr>
    </w:lvl>
    <w:lvl w:ilvl="8">
      <w:start w:val="1"/>
      <w:numFmt w:val="bullet"/>
      <w:lvlText w:val="▪"/>
      <w:lvlJc w:val="left"/>
      <w:pPr>
        <w:ind w:left="6390" w:hanging="360"/>
      </w:pPr>
      <w:rPr>
        <w:rFonts w:ascii="Noto Sans Symbols" w:eastAsia="Noto Sans Symbols" w:hAnsi="Noto Sans Symbols" w:cs="Noto Sans Symbols"/>
      </w:rPr>
    </w:lvl>
  </w:abstractNum>
  <w:num w:numId="1">
    <w:abstractNumId w:val="83"/>
  </w:num>
  <w:num w:numId="2">
    <w:abstractNumId w:val="89"/>
  </w:num>
  <w:num w:numId="3">
    <w:abstractNumId w:val="78"/>
  </w:num>
  <w:num w:numId="4">
    <w:abstractNumId w:val="39"/>
  </w:num>
  <w:num w:numId="5">
    <w:abstractNumId w:val="22"/>
  </w:num>
  <w:num w:numId="6">
    <w:abstractNumId w:val="25"/>
  </w:num>
  <w:num w:numId="7">
    <w:abstractNumId w:val="86"/>
  </w:num>
  <w:num w:numId="8">
    <w:abstractNumId w:val="32"/>
  </w:num>
  <w:num w:numId="9">
    <w:abstractNumId w:val="33"/>
  </w:num>
  <w:num w:numId="10">
    <w:abstractNumId w:val="90"/>
  </w:num>
  <w:num w:numId="11">
    <w:abstractNumId w:val="58"/>
  </w:num>
  <w:num w:numId="12">
    <w:abstractNumId w:val="46"/>
  </w:num>
  <w:num w:numId="13">
    <w:abstractNumId w:val="43"/>
  </w:num>
  <w:num w:numId="14">
    <w:abstractNumId w:val="23"/>
  </w:num>
  <w:num w:numId="15">
    <w:abstractNumId w:val="53"/>
  </w:num>
  <w:num w:numId="16">
    <w:abstractNumId w:val="97"/>
  </w:num>
  <w:num w:numId="17">
    <w:abstractNumId w:val="92"/>
  </w:num>
  <w:num w:numId="18">
    <w:abstractNumId w:val="20"/>
  </w:num>
  <w:num w:numId="19">
    <w:abstractNumId w:val="95"/>
  </w:num>
  <w:num w:numId="20">
    <w:abstractNumId w:val="29"/>
  </w:num>
  <w:num w:numId="21">
    <w:abstractNumId w:val="73"/>
  </w:num>
  <w:num w:numId="22">
    <w:abstractNumId w:val="37"/>
  </w:num>
  <w:num w:numId="23">
    <w:abstractNumId w:val="71"/>
  </w:num>
  <w:num w:numId="24">
    <w:abstractNumId w:val="60"/>
  </w:num>
  <w:num w:numId="25">
    <w:abstractNumId w:val="70"/>
  </w:num>
  <w:num w:numId="26">
    <w:abstractNumId w:val="64"/>
  </w:num>
  <w:num w:numId="27">
    <w:abstractNumId w:val="74"/>
  </w:num>
  <w:num w:numId="28">
    <w:abstractNumId w:val="62"/>
  </w:num>
  <w:num w:numId="29">
    <w:abstractNumId w:val="31"/>
  </w:num>
  <w:num w:numId="30">
    <w:abstractNumId w:val="1"/>
  </w:num>
  <w:num w:numId="31">
    <w:abstractNumId w:val="82"/>
  </w:num>
  <w:num w:numId="32">
    <w:abstractNumId w:val="18"/>
  </w:num>
  <w:num w:numId="33">
    <w:abstractNumId w:val="67"/>
  </w:num>
  <w:num w:numId="34">
    <w:abstractNumId w:val="9"/>
  </w:num>
  <w:num w:numId="35">
    <w:abstractNumId w:val="77"/>
  </w:num>
  <w:num w:numId="36">
    <w:abstractNumId w:val="35"/>
  </w:num>
  <w:num w:numId="37">
    <w:abstractNumId w:val="84"/>
  </w:num>
  <w:num w:numId="38">
    <w:abstractNumId w:val="6"/>
  </w:num>
  <w:num w:numId="39">
    <w:abstractNumId w:val="14"/>
  </w:num>
  <w:num w:numId="40">
    <w:abstractNumId w:val="47"/>
  </w:num>
  <w:num w:numId="41">
    <w:abstractNumId w:val="7"/>
  </w:num>
  <w:num w:numId="42">
    <w:abstractNumId w:val="91"/>
  </w:num>
  <w:num w:numId="43">
    <w:abstractNumId w:val="72"/>
  </w:num>
  <w:num w:numId="44">
    <w:abstractNumId w:val="66"/>
  </w:num>
  <w:num w:numId="45">
    <w:abstractNumId w:val="88"/>
  </w:num>
  <w:num w:numId="46">
    <w:abstractNumId w:val="57"/>
  </w:num>
  <w:num w:numId="47">
    <w:abstractNumId w:val="68"/>
  </w:num>
  <w:num w:numId="48">
    <w:abstractNumId w:val="5"/>
  </w:num>
  <w:num w:numId="49">
    <w:abstractNumId w:val="24"/>
  </w:num>
  <w:num w:numId="50">
    <w:abstractNumId w:val="36"/>
  </w:num>
  <w:num w:numId="51">
    <w:abstractNumId w:val="19"/>
  </w:num>
  <w:num w:numId="52">
    <w:abstractNumId w:val="93"/>
  </w:num>
  <w:num w:numId="53">
    <w:abstractNumId w:val="51"/>
  </w:num>
  <w:num w:numId="54">
    <w:abstractNumId w:val="76"/>
  </w:num>
  <w:num w:numId="55">
    <w:abstractNumId w:val="16"/>
  </w:num>
  <w:num w:numId="56">
    <w:abstractNumId w:val="44"/>
  </w:num>
  <w:num w:numId="57">
    <w:abstractNumId w:val="79"/>
  </w:num>
  <w:num w:numId="58">
    <w:abstractNumId w:val="50"/>
  </w:num>
  <w:num w:numId="59">
    <w:abstractNumId w:val="10"/>
  </w:num>
  <w:num w:numId="60">
    <w:abstractNumId w:val="81"/>
  </w:num>
  <w:num w:numId="61">
    <w:abstractNumId w:val="40"/>
  </w:num>
  <w:num w:numId="62">
    <w:abstractNumId w:val="65"/>
  </w:num>
  <w:num w:numId="63">
    <w:abstractNumId w:val="17"/>
  </w:num>
  <w:num w:numId="64">
    <w:abstractNumId w:val="13"/>
  </w:num>
  <w:num w:numId="65">
    <w:abstractNumId w:val="54"/>
  </w:num>
  <w:num w:numId="66">
    <w:abstractNumId w:val="42"/>
  </w:num>
  <w:num w:numId="67">
    <w:abstractNumId w:val="75"/>
  </w:num>
  <w:num w:numId="68">
    <w:abstractNumId w:val="63"/>
  </w:num>
  <w:num w:numId="69">
    <w:abstractNumId w:val="98"/>
  </w:num>
  <w:num w:numId="70">
    <w:abstractNumId w:val="48"/>
  </w:num>
  <w:num w:numId="71">
    <w:abstractNumId w:val="30"/>
  </w:num>
  <w:num w:numId="72">
    <w:abstractNumId w:val="2"/>
  </w:num>
  <w:num w:numId="73">
    <w:abstractNumId w:val="12"/>
  </w:num>
  <w:num w:numId="74">
    <w:abstractNumId w:val="87"/>
  </w:num>
  <w:num w:numId="75">
    <w:abstractNumId w:val="41"/>
  </w:num>
  <w:num w:numId="76">
    <w:abstractNumId w:val="55"/>
  </w:num>
  <w:num w:numId="77">
    <w:abstractNumId w:val="34"/>
  </w:num>
  <w:num w:numId="78">
    <w:abstractNumId w:val="38"/>
  </w:num>
  <w:num w:numId="79">
    <w:abstractNumId w:val="45"/>
  </w:num>
  <w:num w:numId="80">
    <w:abstractNumId w:val="8"/>
  </w:num>
  <w:num w:numId="81">
    <w:abstractNumId w:val="21"/>
  </w:num>
  <w:num w:numId="82">
    <w:abstractNumId w:val="80"/>
  </w:num>
  <w:num w:numId="83">
    <w:abstractNumId w:val="28"/>
  </w:num>
  <w:num w:numId="84">
    <w:abstractNumId w:val="27"/>
  </w:num>
  <w:num w:numId="85">
    <w:abstractNumId w:val="69"/>
  </w:num>
  <w:num w:numId="86">
    <w:abstractNumId w:val="3"/>
  </w:num>
  <w:num w:numId="87">
    <w:abstractNumId w:val="26"/>
  </w:num>
  <w:num w:numId="88">
    <w:abstractNumId w:val="11"/>
  </w:num>
  <w:num w:numId="89">
    <w:abstractNumId w:val="15"/>
  </w:num>
  <w:num w:numId="90">
    <w:abstractNumId w:val="61"/>
  </w:num>
  <w:num w:numId="91">
    <w:abstractNumId w:val="52"/>
  </w:num>
  <w:num w:numId="92">
    <w:abstractNumId w:val="59"/>
  </w:num>
  <w:num w:numId="93">
    <w:abstractNumId w:val="85"/>
  </w:num>
  <w:num w:numId="94">
    <w:abstractNumId w:val="56"/>
  </w:num>
  <w:num w:numId="95">
    <w:abstractNumId w:val="94"/>
  </w:num>
  <w:num w:numId="96">
    <w:abstractNumId w:val="0"/>
  </w:num>
  <w:num w:numId="97">
    <w:abstractNumId w:val="49"/>
  </w:num>
  <w:num w:numId="98">
    <w:abstractNumId w:val="4"/>
  </w:num>
  <w:num w:numId="99">
    <w:abstractNumId w:val="96"/>
  </w:num>
  <w:numIdMacAtCleanup w:val="9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3527"/>
    <w:rsid w:val="00003523"/>
    <w:rsid w:val="00016AC9"/>
    <w:rsid w:val="000475C6"/>
    <w:rsid w:val="00081622"/>
    <w:rsid w:val="000A4222"/>
    <w:rsid w:val="000C6F57"/>
    <w:rsid w:val="000C736A"/>
    <w:rsid w:val="00103B00"/>
    <w:rsid w:val="001C28F8"/>
    <w:rsid w:val="00290502"/>
    <w:rsid w:val="002928CA"/>
    <w:rsid w:val="00296E77"/>
    <w:rsid w:val="002A7462"/>
    <w:rsid w:val="002B2B76"/>
    <w:rsid w:val="002C2BB9"/>
    <w:rsid w:val="002D1B34"/>
    <w:rsid w:val="002F2F62"/>
    <w:rsid w:val="00300ED3"/>
    <w:rsid w:val="00336AA1"/>
    <w:rsid w:val="00356213"/>
    <w:rsid w:val="003721C3"/>
    <w:rsid w:val="00376389"/>
    <w:rsid w:val="003819AA"/>
    <w:rsid w:val="003A5746"/>
    <w:rsid w:val="003A6A4A"/>
    <w:rsid w:val="003D329D"/>
    <w:rsid w:val="0040275E"/>
    <w:rsid w:val="004B5AF2"/>
    <w:rsid w:val="004C4445"/>
    <w:rsid w:val="004D7AB8"/>
    <w:rsid w:val="004E14DC"/>
    <w:rsid w:val="00511CB8"/>
    <w:rsid w:val="0051216A"/>
    <w:rsid w:val="00514F4A"/>
    <w:rsid w:val="005238B1"/>
    <w:rsid w:val="0052419F"/>
    <w:rsid w:val="00540C3C"/>
    <w:rsid w:val="00577EE4"/>
    <w:rsid w:val="00585C98"/>
    <w:rsid w:val="005A4694"/>
    <w:rsid w:val="005A675B"/>
    <w:rsid w:val="005D26D5"/>
    <w:rsid w:val="005F42E8"/>
    <w:rsid w:val="006055CF"/>
    <w:rsid w:val="006745F9"/>
    <w:rsid w:val="00681DF2"/>
    <w:rsid w:val="00684ADA"/>
    <w:rsid w:val="00686860"/>
    <w:rsid w:val="006C04EE"/>
    <w:rsid w:val="006D141E"/>
    <w:rsid w:val="006E1C4B"/>
    <w:rsid w:val="006F0FC2"/>
    <w:rsid w:val="006F40B6"/>
    <w:rsid w:val="00711FA6"/>
    <w:rsid w:val="00731A15"/>
    <w:rsid w:val="007401EC"/>
    <w:rsid w:val="007669EB"/>
    <w:rsid w:val="00774D13"/>
    <w:rsid w:val="007960DC"/>
    <w:rsid w:val="007B1994"/>
    <w:rsid w:val="007B7F08"/>
    <w:rsid w:val="007D3577"/>
    <w:rsid w:val="007D4DC9"/>
    <w:rsid w:val="007F4AED"/>
    <w:rsid w:val="007F56FC"/>
    <w:rsid w:val="00830D63"/>
    <w:rsid w:val="00831B52"/>
    <w:rsid w:val="008348DF"/>
    <w:rsid w:val="00851BB1"/>
    <w:rsid w:val="00856CB2"/>
    <w:rsid w:val="008841CE"/>
    <w:rsid w:val="008926DF"/>
    <w:rsid w:val="009016D1"/>
    <w:rsid w:val="009052E7"/>
    <w:rsid w:val="00906BDD"/>
    <w:rsid w:val="00923014"/>
    <w:rsid w:val="0092690C"/>
    <w:rsid w:val="009434C0"/>
    <w:rsid w:val="009635C1"/>
    <w:rsid w:val="00985924"/>
    <w:rsid w:val="00987026"/>
    <w:rsid w:val="009C1A5E"/>
    <w:rsid w:val="009E0221"/>
    <w:rsid w:val="00A022A2"/>
    <w:rsid w:val="00A36337"/>
    <w:rsid w:val="00AB3FD4"/>
    <w:rsid w:val="00AE289D"/>
    <w:rsid w:val="00B25E07"/>
    <w:rsid w:val="00B3065A"/>
    <w:rsid w:val="00B65FD8"/>
    <w:rsid w:val="00BC32E9"/>
    <w:rsid w:val="00BD1568"/>
    <w:rsid w:val="00BF4E19"/>
    <w:rsid w:val="00BF792A"/>
    <w:rsid w:val="00C27469"/>
    <w:rsid w:val="00C44B63"/>
    <w:rsid w:val="00C51C0D"/>
    <w:rsid w:val="00C949A3"/>
    <w:rsid w:val="00CA52E5"/>
    <w:rsid w:val="00CC27B8"/>
    <w:rsid w:val="00CD3527"/>
    <w:rsid w:val="00CF7033"/>
    <w:rsid w:val="00D2604D"/>
    <w:rsid w:val="00D74864"/>
    <w:rsid w:val="00D814BC"/>
    <w:rsid w:val="00D927DC"/>
    <w:rsid w:val="00D96BD4"/>
    <w:rsid w:val="00DA169F"/>
    <w:rsid w:val="00DB197F"/>
    <w:rsid w:val="00DD5C34"/>
    <w:rsid w:val="00DF1CFD"/>
    <w:rsid w:val="00E264B5"/>
    <w:rsid w:val="00E31A05"/>
    <w:rsid w:val="00E32E99"/>
    <w:rsid w:val="00E51738"/>
    <w:rsid w:val="00E62CF3"/>
    <w:rsid w:val="00E71FB0"/>
    <w:rsid w:val="00E92BE0"/>
    <w:rsid w:val="00E95767"/>
    <w:rsid w:val="00EB5128"/>
    <w:rsid w:val="00EF3ED9"/>
    <w:rsid w:val="00F070C2"/>
    <w:rsid w:val="00F218AA"/>
    <w:rsid w:val="00F92967"/>
    <w:rsid w:val="00F94BB3"/>
    <w:rsid w:val="00F95C94"/>
    <w:rsid w:val="00FA43C4"/>
    <w:rsid w:val="00FC5E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B41AE7"/>
  <w15:docId w15:val="{FC8C6E89-A005-1D4B-93FE-448C301B32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pBdr>
        <w:top w:val="nil"/>
        <w:left w:val="nil"/>
        <w:bottom w:val="nil"/>
        <w:right w:val="nil"/>
        <w:between w:val="nil"/>
      </w:pBdr>
      <w:spacing w:before="240" w:after="60"/>
      <w:outlineLvl w:val="0"/>
    </w:pPr>
    <w:rPr>
      <w:rFonts w:ascii="Cambria" w:eastAsia="Cambria" w:hAnsi="Cambria" w:cs="Cambria"/>
      <w:b/>
      <w:color w:val="000000"/>
      <w:sz w:val="32"/>
      <w:szCs w:val="32"/>
    </w:rPr>
  </w:style>
  <w:style w:type="paragraph" w:styleId="Heading2">
    <w:name w:val="heading 2"/>
    <w:basedOn w:val="Normal"/>
    <w:next w:val="Normal"/>
    <w:uiPriority w:val="9"/>
    <w:unhideWhenUsed/>
    <w:qFormat/>
    <w:pPr>
      <w:keepNext/>
      <w:pBdr>
        <w:top w:val="nil"/>
        <w:left w:val="nil"/>
        <w:bottom w:val="nil"/>
        <w:right w:val="nil"/>
        <w:between w:val="nil"/>
      </w:pBdr>
      <w:spacing w:before="240" w:after="60"/>
      <w:outlineLvl w:val="1"/>
    </w:pPr>
    <w:rPr>
      <w:rFonts w:ascii="Cambria" w:eastAsia="Cambria" w:hAnsi="Cambria" w:cs="Cambria"/>
      <w:b/>
      <w:i/>
      <w:color w:val="000000"/>
      <w:sz w:val="28"/>
      <w:szCs w:val="28"/>
    </w:rPr>
  </w:style>
  <w:style w:type="paragraph" w:styleId="Heading3">
    <w:name w:val="heading 3"/>
    <w:basedOn w:val="Normal"/>
    <w:next w:val="Normal"/>
    <w:uiPriority w:val="9"/>
    <w:unhideWhenUsed/>
    <w:qFormat/>
    <w:pPr>
      <w:keepNext/>
      <w:pBdr>
        <w:top w:val="nil"/>
        <w:left w:val="nil"/>
        <w:bottom w:val="nil"/>
        <w:right w:val="nil"/>
        <w:between w:val="nil"/>
      </w:pBdr>
      <w:spacing w:before="240" w:after="60"/>
      <w:outlineLvl w:val="2"/>
    </w:pPr>
    <w:rPr>
      <w:rFonts w:ascii="Cambria" w:eastAsia="Cambria" w:hAnsi="Cambria" w:cs="Cambria"/>
      <w:b/>
      <w:color w:val="000000"/>
      <w:sz w:val="26"/>
      <w:szCs w:val="26"/>
    </w:rPr>
  </w:style>
  <w:style w:type="paragraph" w:styleId="Heading4">
    <w:name w:val="heading 4"/>
    <w:basedOn w:val="Normal"/>
    <w:next w:val="Normal"/>
    <w:uiPriority w:val="9"/>
    <w:semiHidden/>
    <w:unhideWhenUsed/>
    <w:qFormat/>
    <w:pPr>
      <w:keepNext/>
      <w:keepLines/>
      <w:pBdr>
        <w:top w:val="nil"/>
        <w:left w:val="nil"/>
        <w:bottom w:val="nil"/>
        <w:right w:val="nil"/>
        <w:between w:val="nil"/>
      </w:pBdr>
      <w:spacing w:before="240" w:after="40"/>
      <w:outlineLvl w:val="3"/>
    </w:pPr>
    <w:rPr>
      <w:b/>
      <w:color w:val="000000"/>
    </w:rPr>
  </w:style>
  <w:style w:type="paragraph" w:styleId="Heading5">
    <w:name w:val="heading 5"/>
    <w:basedOn w:val="Normal"/>
    <w:next w:val="Normal"/>
    <w:uiPriority w:val="9"/>
    <w:semiHidden/>
    <w:unhideWhenUsed/>
    <w:qFormat/>
    <w:pPr>
      <w:keepNext/>
      <w:keepLines/>
      <w:pBdr>
        <w:top w:val="nil"/>
        <w:left w:val="nil"/>
        <w:bottom w:val="nil"/>
        <w:right w:val="nil"/>
        <w:between w:val="nil"/>
      </w:pBdr>
      <w:spacing w:before="220" w:after="40"/>
      <w:outlineLvl w:val="4"/>
    </w:pPr>
    <w:rPr>
      <w:b/>
      <w:color w:val="000000"/>
      <w:sz w:val="22"/>
      <w:szCs w:val="22"/>
    </w:rPr>
  </w:style>
  <w:style w:type="paragraph" w:styleId="Heading6">
    <w:name w:val="heading 6"/>
    <w:basedOn w:val="Normal"/>
    <w:next w:val="Normal"/>
    <w:uiPriority w:val="9"/>
    <w:semiHidden/>
    <w:unhideWhenUsed/>
    <w:qFormat/>
    <w:pPr>
      <w:keepNext/>
      <w:keepLines/>
      <w:pBdr>
        <w:top w:val="nil"/>
        <w:left w:val="nil"/>
        <w:bottom w:val="nil"/>
        <w:right w:val="nil"/>
        <w:between w:val="nil"/>
      </w:pBdr>
      <w:spacing w:before="200" w:after="40"/>
      <w:outlineLvl w:val="5"/>
    </w:pPr>
    <w:rPr>
      <w:b/>
      <w:color w:val="00000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pBdr>
        <w:top w:val="nil"/>
        <w:left w:val="nil"/>
        <w:bottom w:val="nil"/>
        <w:right w:val="nil"/>
        <w:between w:val="nil"/>
      </w:pBdr>
      <w:spacing w:before="240" w:after="60"/>
      <w:jc w:val="center"/>
    </w:pPr>
    <w:rPr>
      <w:rFonts w:ascii="Cambria" w:eastAsia="Cambria" w:hAnsi="Cambria" w:cs="Cambria"/>
      <w:b/>
      <w:color w:val="000000"/>
      <w:sz w:val="32"/>
      <w:szCs w:val="32"/>
    </w:rPr>
  </w:style>
  <w:style w:type="paragraph" w:styleId="Subtitle">
    <w:name w:val="Subtitle"/>
    <w:basedOn w:val="Normal"/>
    <w:next w:val="Normal"/>
    <w:uiPriority w:val="11"/>
    <w:qFormat/>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5" w:type="dxa"/>
        <w:left w:w="15" w:type="dxa"/>
        <w:bottom w:w="15" w:type="dxa"/>
        <w:right w:w="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15" w:type="dxa"/>
        <w:right w:w="115" w:type="dxa"/>
      </w:tblCellMar>
    </w:tblPr>
  </w:style>
  <w:style w:type="table" w:customStyle="1" w:styleId="a6">
    <w:basedOn w:val="TableNormal"/>
    <w:tblPr>
      <w:tblStyleRowBandSize w:val="1"/>
      <w:tblStyleColBandSize w:val="1"/>
      <w:tblCellMar>
        <w:left w:w="115" w:type="dxa"/>
        <w:right w:w="115" w:type="dxa"/>
      </w:tblCellMar>
    </w:tblPr>
  </w:style>
  <w:style w:type="table" w:customStyle="1" w:styleId="a7">
    <w:basedOn w:val="TableNormal"/>
    <w:tblPr>
      <w:tblStyleRowBandSize w:val="1"/>
      <w:tblStyleColBandSize w:val="1"/>
      <w:tblCellMar>
        <w:left w:w="115" w:type="dxa"/>
        <w:right w:w="115" w:type="dxa"/>
      </w:tblCellMar>
    </w:tblPr>
  </w:style>
  <w:style w:type="table" w:customStyle="1" w:styleId="a8">
    <w:basedOn w:val="TableNormal"/>
    <w:tblPr>
      <w:tblStyleRowBandSize w:val="1"/>
      <w:tblStyleColBandSize w:val="1"/>
      <w:tblCellMar>
        <w:left w:w="115" w:type="dxa"/>
        <w:right w:w="115" w:type="dxa"/>
      </w:tblCellMar>
    </w:tblPr>
  </w:style>
  <w:style w:type="table" w:customStyle="1" w:styleId="a9">
    <w:basedOn w:val="TableNormal"/>
    <w:tblPr>
      <w:tblStyleRowBandSize w:val="1"/>
      <w:tblStyleColBandSize w:val="1"/>
      <w:tblCellMar>
        <w:left w:w="115" w:type="dxa"/>
        <w:right w:w="115" w:type="dxa"/>
      </w:tblCellMar>
    </w:tblPr>
  </w:style>
  <w:style w:type="table" w:customStyle="1" w:styleId="aa">
    <w:basedOn w:val="TableNormal"/>
    <w:tblPr>
      <w:tblStyleRowBandSize w:val="1"/>
      <w:tblStyleColBandSize w:val="1"/>
      <w:tblCellMar>
        <w:left w:w="115" w:type="dxa"/>
        <w:right w:w="115" w:type="dxa"/>
      </w:tblCellMar>
    </w:tbl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Revision">
    <w:name w:val="Revision"/>
    <w:hidden/>
    <w:uiPriority w:val="99"/>
    <w:semiHidden/>
    <w:rsid w:val="00E95767"/>
  </w:style>
  <w:style w:type="paragraph" w:styleId="CommentSubject">
    <w:name w:val="annotation subject"/>
    <w:basedOn w:val="CommentText"/>
    <w:next w:val="CommentText"/>
    <w:link w:val="CommentSubjectChar"/>
    <w:uiPriority w:val="99"/>
    <w:semiHidden/>
    <w:unhideWhenUsed/>
    <w:rsid w:val="0052419F"/>
    <w:rPr>
      <w:b/>
      <w:bCs/>
    </w:rPr>
  </w:style>
  <w:style w:type="character" w:customStyle="1" w:styleId="CommentSubjectChar">
    <w:name w:val="Comment Subject Char"/>
    <w:basedOn w:val="CommentTextChar"/>
    <w:link w:val="CommentSubject"/>
    <w:uiPriority w:val="99"/>
    <w:semiHidden/>
    <w:rsid w:val="0052419F"/>
    <w:rPr>
      <w:b/>
      <w:bCs/>
      <w:sz w:val="20"/>
      <w:szCs w:val="20"/>
    </w:rPr>
  </w:style>
  <w:style w:type="character" w:styleId="Hyperlink">
    <w:name w:val="Hyperlink"/>
    <w:basedOn w:val="DefaultParagraphFont"/>
    <w:uiPriority w:val="99"/>
    <w:unhideWhenUsed/>
    <w:rsid w:val="00C51C0D"/>
    <w:rPr>
      <w:color w:val="0000FF" w:themeColor="hyperlink"/>
      <w:u w:val="single"/>
    </w:rPr>
  </w:style>
  <w:style w:type="character" w:styleId="UnresolvedMention">
    <w:name w:val="Unresolved Mention"/>
    <w:basedOn w:val="DefaultParagraphFont"/>
    <w:uiPriority w:val="99"/>
    <w:semiHidden/>
    <w:unhideWhenUsed/>
    <w:rsid w:val="00C51C0D"/>
    <w:rPr>
      <w:color w:val="605E5C"/>
      <w:shd w:val="clear" w:color="auto" w:fill="E1DFDD"/>
    </w:rPr>
  </w:style>
  <w:style w:type="paragraph" w:styleId="ListParagraph">
    <w:name w:val="List Paragraph"/>
    <w:basedOn w:val="Normal"/>
    <w:uiPriority w:val="34"/>
    <w:qFormat/>
    <w:rsid w:val="00F218AA"/>
    <w:pPr>
      <w:ind w:left="720"/>
      <w:contextualSpacing/>
    </w:pPr>
  </w:style>
  <w:style w:type="paragraph" w:styleId="NormalWeb">
    <w:name w:val="Normal (Web)"/>
    <w:basedOn w:val="Normal"/>
    <w:uiPriority w:val="99"/>
    <w:semiHidden/>
    <w:unhideWhenUsed/>
    <w:rsid w:val="00A022A2"/>
    <w:pPr>
      <w:spacing w:before="100" w:beforeAutospacing="1" w:after="100" w:afterAutospacing="1"/>
    </w:pPr>
  </w:style>
  <w:style w:type="character" w:customStyle="1" w:styleId="apple-converted-space">
    <w:name w:val="apple-converted-space"/>
    <w:basedOn w:val="DefaultParagraphFont"/>
    <w:rsid w:val="006C04E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7284840">
      <w:bodyDiv w:val="1"/>
      <w:marLeft w:val="0"/>
      <w:marRight w:val="0"/>
      <w:marTop w:val="0"/>
      <w:marBottom w:val="0"/>
      <w:divBdr>
        <w:top w:val="none" w:sz="0" w:space="0" w:color="auto"/>
        <w:left w:val="none" w:sz="0" w:space="0" w:color="auto"/>
        <w:bottom w:val="none" w:sz="0" w:space="0" w:color="auto"/>
        <w:right w:val="none" w:sz="0" w:space="0" w:color="auto"/>
      </w:divBdr>
      <w:divsChild>
        <w:div w:id="463502178">
          <w:marLeft w:val="0"/>
          <w:marRight w:val="0"/>
          <w:marTop w:val="0"/>
          <w:marBottom w:val="0"/>
          <w:divBdr>
            <w:top w:val="none" w:sz="0" w:space="0" w:color="auto"/>
            <w:left w:val="none" w:sz="0" w:space="0" w:color="auto"/>
            <w:bottom w:val="single" w:sz="8" w:space="1" w:color="auto"/>
            <w:right w:val="none" w:sz="0" w:space="0" w:color="auto"/>
          </w:divBdr>
        </w:div>
      </w:divsChild>
    </w:div>
    <w:div w:id="596596059">
      <w:bodyDiv w:val="1"/>
      <w:marLeft w:val="0"/>
      <w:marRight w:val="0"/>
      <w:marTop w:val="0"/>
      <w:marBottom w:val="0"/>
      <w:divBdr>
        <w:top w:val="none" w:sz="0" w:space="0" w:color="auto"/>
        <w:left w:val="none" w:sz="0" w:space="0" w:color="auto"/>
        <w:bottom w:val="none" w:sz="0" w:space="0" w:color="auto"/>
        <w:right w:val="none" w:sz="0" w:space="0" w:color="auto"/>
      </w:divBdr>
    </w:div>
    <w:div w:id="1173952146">
      <w:bodyDiv w:val="1"/>
      <w:marLeft w:val="0"/>
      <w:marRight w:val="0"/>
      <w:marTop w:val="0"/>
      <w:marBottom w:val="0"/>
      <w:divBdr>
        <w:top w:val="none" w:sz="0" w:space="0" w:color="auto"/>
        <w:left w:val="none" w:sz="0" w:space="0" w:color="auto"/>
        <w:bottom w:val="none" w:sz="0" w:space="0" w:color="auto"/>
        <w:right w:val="none" w:sz="0" w:space="0" w:color="auto"/>
      </w:divBdr>
      <w:divsChild>
        <w:div w:id="1471247820">
          <w:marLeft w:val="0"/>
          <w:marRight w:val="0"/>
          <w:marTop w:val="0"/>
          <w:marBottom w:val="0"/>
          <w:divBdr>
            <w:top w:val="none" w:sz="0" w:space="0" w:color="auto"/>
            <w:left w:val="none" w:sz="0" w:space="0" w:color="auto"/>
            <w:bottom w:val="single" w:sz="8" w:space="1" w:color="auto"/>
            <w:right w:val="none" w:sz="0" w:space="0" w:color="auto"/>
          </w:divBdr>
        </w:div>
      </w:divsChild>
    </w:div>
    <w:div w:id="1952399040">
      <w:bodyDiv w:val="1"/>
      <w:marLeft w:val="0"/>
      <w:marRight w:val="0"/>
      <w:marTop w:val="0"/>
      <w:marBottom w:val="0"/>
      <w:divBdr>
        <w:top w:val="none" w:sz="0" w:space="0" w:color="auto"/>
        <w:left w:val="none" w:sz="0" w:space="0" w:color="auto"/>
        <w:bottom w:val="none" w:sz="0" w:space="0" w:color="auto"/>
        <w:right w:val="none" w:sz="0" w:space="0" w:color="auto"/>
      </w:divBdr>
    </w:div>
    <w:div w:id="209813654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26" Type="http://schemas.openxmlformats.org/officeDocument/2006/relationships/diagramData" Target="diagrams/data2.xml"/><Relationship Id="rId21" Type="http://schemas.openxmlformats.org/officeDocument/2006/relationships/diagramData" Target="diagrams/data1.xml"/><Relationship Id="rId42" Type="http://schemas.openxmlformats.org/officeDocument/2006/relationships/hyperlink" Target="mailto:rock@tc.columbia.edu)._" TargetMode="External"/><Relationship Id="rId47" Type="http://schemas.openxmlformats.org/officeDocument/2006/relationships/hyperlink" Target="mailto:oasid@tc.columbia.edu" TargetMode="External"/><Relationship Id="rId63" Type="http://schemas.openxmlformats.org/officeDocument/2006/relationships/hyperlink" Target="mailto:rfr2109@tc.columbia.edu" TargetMode="External"/><Relationship Id="rId68" Type="http://schemas.openxmlformats.org/officeDocument/2006/relationships/hyperlink" Target="https://www.google.com/search?safe=active&amp;q=Evidence-based+practice+in+psychology.+American+Psychologist,+Vol+61(4),+May-June+2006,+271-285&amp;spell=1&amp;sa=X&amp;ved=0ahUKEwjpkL_0qqDdAhXvTN8KHeKVAFQQBQgkKAA" TargetMode="External"/><Relationship Id="rId84" Type="http://schemas.openxmlformats.org/officeDocument/2006/relationships/hyperlink" Target="https://www.tc.columbia.edu/doctoral/forms/phd-students-forms/" TargetMode="External"/><Relationship Id="rId89" Type="http://schemas.openxmlformats.org/officeDocument/2006/relationships/hyperlink" Target="mailto:ods@tc.columbia.edu" TargetMode="External"/><Relationship Id="rId112" Type="http://schemas.openxmlformats.org/officeDocument/2006/relationships/theme" Target="theme/theme1.xml"/><Relationship Id="rId16" Type="http://schemas.openxmlformats.org/officeDocument/2006/relationships/hyperlink" Target="http://www.tc.columbia.edu/policylibrary/Student%20Responsibility%20for%20Monitoring%20TC%20Email%20Account" TargetMode="External"/><Relationship Id="rId107" Type="http://schemas.openxmlformats.org/officeDocument/2006/relationships/hyperlink" Target="http://www.apa.org/science/leadership/students/authorshippaper.pdf" TargetMode="External"/><Relationship Id="rId11" Type="http://schemas.openxmlformats.org/officeDocument/2006/relationships/hyperlink" Target="https://www.tc.columbia.edu/academics/psychology/about/" TargetMode="External"/><Relationship Id="rId32" Type="http://schemas.openxmlformats.org/officeDocument/2006/relationships/diagramLayout" Target="diagrams/layout3.xml"/><Relationship Id="rId37" Type="http://schemas.openxmlformats.org/officeDocument/2006/relationships/hyperlink" Target="https://www.tc.columbia.edu/registrar/resources/transfer-credits/" TargetMode="External"/><Relationship Id="rId53" Type="http://schemas.openxmlformats.org/officeDocument/2006/relationships/hyperlink" Target="http://www.tc.edu/policylibrary/protection_from_harassment" TargetMode="External"/><Relationship Id="rId58" Type="http://schemas.openxmlformats.org/officeDocument/2006/relationships/hyperlink" Target="mailto:bf39@tc.columbia.edu" TargetMode="External"/><Relationship Id="rId74" Type="http://schemas.openxmlformats.org/officeDocument/2006/relationships/hyperlink" Target="https://help.liaisonedu.com/Time2Track_Help_Center/Trainees" TargetMode="External"/><Relationship Id="rId79" Type="http://schemas.openxmlformats.org/officeDocument/2006/relationships/hyperlink" Target="https://www.tc.columbia.edu/doctoral/forms/requirements/" TargetMode="External"/><Relationship Id="rId102" Type="http://schemas.openxmlformats.org/officeDocument/2006/relationships/hyperlink" Target="https://personcenteredtech.com/2016/07/28/practice-telemental-health-required-receive-training/" TargetMode="External"/><Relationship Id="rId5" Type="http://schemas.openxmlformats.org/officeDocument/2006/relationships/webSettings" Target="webSettings.xml"/><Relationship Id="rId90" Type="http://schemas.openxmlformats.org/officeDocument/2006/relationships/image" Target="media/image3.png"/><Relationship Id="rId95" Type="http://schemas.openxmlformats.org/officeDocument/2006/relationships/hyperlink" Target="http://www.psyweb.com" TargetMode="External"/><Relationship Id="rId22" Type="http://schemas.openxmlformats.org/officeDocument/2006/relationships/diagramLayout" Target="diagrams/layout1.xml"/><Relationship Id="rId27" Type="http://schemas.openxmlformats.org/officeDocument/2006/relationships/diagramLayout" Target="diagrams/layout2.xml"/><Relationship Id="rId43" Type="http://schemas.openxmlformats.org/officeDocument/2006/relationships/hyperlink" Target="mailto:jrobinson@tc.columbia.edu" TargetMode="External"/><Relationship Id="rId48" Type="http://schemas.openxmlformats.org/officeDocument/2006/relationships/hyperlink" Target="http://www.tc.columbia.edu/oasid/" TargetMode="External"/><Relationship Id="rId64" Type="http://schemas.openxmlformats.org/officeDocument/2006/relationships/hyperlink" Target="http://www.psychpracticum.fdu.edu" TargetMode="External"/><Relationship Id="rId69" Type="http://schemas.openxmlformats.org/officeDocument/2006/relationships/hyperlink" Target="https://www.google.com/search?safe=active&amp;q=Evidence-based+practice+in+psychology.+American+Psychologist,+Vol+61(4),+May-June+2006,+271-285&amp;spell=1&amp;sa=X&amp;ved=0ahUKEwjpkL_0qqDdAhXvTN8KHeKVAFQQBQgkKAA" TargetMode="External"/><Relationship Id="rId80" Type="http://schemas.openxmlformats.org/officeDocument/2006/relationships/hyperlink" Target="https://gsas.columbia.edu/student-guide/dissertation/doctoral-dissertation-sponsors" TargetMode="External"/><Relationship Id="rId85" Type="http://schemas.openxmlformats.org/officeDocument/2006/relationships/hyperlink" Target="https://www.tc.columbia.edu/doctoral/forms/phd-students-forms/" TargetMode="External"/><Relationship Id="rId12" Type="http://schemas.openxmlformats.org/officeDocument/2006/relationships/hyperlink" Target="https://www.tc.columbia.edu/counseling-and-clinical-psychology/clinical/phd-program/" TargetMode="External"/><Relationship Id="rId17" Type="http://schemas.openxmlformats.org/officeDocument/2006/relationships/hyperlink" Target="http://www.tc.columbia.edu/policylibrary/provost/religious-observance/" TargetMode="External"/><Relationship Id="rId33" Type="http://schemas.openxmlformats.org/officeDocument/2006/relationships/diagramQuickStyle" Target="diagrams/quickStyle3.xml"/><Relationship Id="rId38" Type="http://schemas.openxmlformats.org/officeDocument/2006/relationships/hyperlink" Target="http://www.apait.org/apait/" TargetMode="External"/><Relationship Id="rId59" Type="http://schemas.openxmlformats.org/officeDocument/2006/relationships/hyperlink" Target="mailto:jlc2319@tc.columbia.edu" TargetMode="External"/><Relationship Id="rId103" Type="http://schemas.openxmlformats.org/officeDocument/2006/relationships/hyperlink" Target="http://hemha.org/wp-content/uploads/2019/01/HEMHA-Distance-Counseling_FINAL2019.pdf" TargetMode="External"/><Relationship Id="rId108" Type="http://schemas.openxmlformats.org/officeDocument/2006/relationships/hyperlink" Target="http://www.apa.org/science/about/psa/2015/06/determining-authorship.aspx" TargetMode="External"/><Relationship Id="rId54" Type="http://schemas.openxmlformats.org/officeDocument/2006/relationships/hyperlink" Target="mailto:embree@tc.edu" TargetMode="External"/><Relationship Id="rId70" Type="http://schemas.openxmlformats.org/officeDocument/2006/relationships/hyperlink" Target="https://www.google.com/search?safe=active&amp;q=Evidence-based+practice+in+psychology.+American+Psychologist,+Vol+61(4),+May-June+2006,+271-285&amp;spell=1&amp;sa=X&amp;ved=0ahUKEwjpkL_0qqDdAhXvTN8KHeKVAFQQBQgkKAA" TargetMode="External"/><Relationship Id="rId75" Type="http://schemas.openxmlformats.org/officeDocument/2006/relationships/hyperlink" Target="http://www.appic.org" TargetMode="External"/><Relationship Id="rId91" Type="http://schemas.openxmlformats.org/officeDocument/2006/relationships/hyperlink" Target="http://www.apa.org" TargetMode="External"/><Relationship Id="rId96" Type="http://schemas.openxmlformats.org/officeDocument/2006/relationships/hyperlink" Target="http://www.tc.columbia.edu"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tc.columbia.edu/policylibrary/Incomplete%20Grades" TargetMode="External"/><Relationship Id="rId23" Type="http://schemas.openxmlformats.org/officeDocument/2006/relationships/diagramQuickStyle" Target="diagrams/quickStyle1.xml"/><Relationship Id="rId28" Type="http://schemas.openxmlformats.org/officeDocument/2006/relationships/diagramQuickStyle" Target="diagrams/quickStyle2.xml"/><Relationship Id="rId36" Type="http://schemas.openxmlformats.org/officeDocument/2006/relationships/hyperlink" Target="https://tccolumbia.qualtrics.com/jfe/form/SV_0v8Mm3d8wIVcs7z" TargetMode="External"/><Relationship Id="rId49" Type="http://schemas.openxmlformats.org/officeDocument/2006/relationships/hyperlink" Target="mailto:Mathelier@tc.columbia.edu" TargetMode="External"/><Relationship Id="rId57" Type="http://schemas.openxmlformats.org/officeDocument/2006/relationships/hyperlink" Target="mailto:jlc2319@tc.columbia.edu" TargetMode="External"/><Relationship Id="rId106" Type="http://schemas.openxmlformats.org/officeDocument/2006/relationships/hyperlink" Target="https://www.councilscienceeditors.org/resource-library/editorial-policies/white-paper-on-publication-ethics/2-2-authorship-and-authorship-responsibilities/" TargetMode="External"/><Relationship Id="rId10" Type="http://schemas.openxmlformats.org/officeDocument/2006/relationships/image" Target="media/image2.png"/><Relationship Id="rId31" Type="http://schemas.openxmlformats.org/officeDocument/2006/relationships/diagramData" Target="diagrams/data3.xml"/><Relationship Id="rId44" Type="http://schemas.openxmlformats.org/officeDocument/2006/relationships/hyperlink" Target="http://www.tc.edu/policylibrary/protection_from_harassment" TargetMode="External"/><Relationship Id="rId52" Type="http://schemas.openxmlformats.org/officeDocument/2006/relationships/hyperlink" Target="http://www.tc.columbia.edu/policylibrary/associate-provost-enrollment-services/grade-correction-/" TargetMode="External"/><Relationship Id="rId60" Type="http://schemas.openxmlformats.org/officeDocument/2006/relationships/hyperlink" Target="https://help.liaisonedu.com/Time2Track_Help_Center/Trainees/Trainees_with_Group_Accounts/Getting_Started_with_Your_Time2Track_Account/00_Trainees_Group" TargetMode="External"/><Relationship Id="rId65" Type="http://schemas.openxmlformats.org/officeDocument/2006/relationships/hyperlink" Target="http://psychpracticum.apa.org/" TargetMode="External"/><Relationship Id="rId73" Type="http://schemas.openxmlformats.org/officeDocument/2006/relationships/hyperlink" Target="https://help.liaisonedu.com/Time2Track_Help_Center/Trainees/Trainees_with_Group_Accounts/Getting_Started_with_Your_Time2Track_Account/00_Trainees_Group" TargetMode="External"/><Relationship Id="rId78" Type="http://schemas.openxmlformats.org/officeDocument/2006/relationships/hyperlink" Target="mailto:ng2833@tc.columbia.edu" TargetMode="External"/><Relationship Id="rId81" Type="http://schemas.openxmlformats.org/officeDocument/2006/relationships/hyperlink" Target="mailto:Shulevitz@tc.columbia.edu" TargetMode="External"/><Relationship Id="rId86" Type="http://schemas.openxmlformats.org/officeDocument/2006/relationships/hyperlink" Target="https://www.tc.columbia.edu/form-library/office-of-doctoral-studies/teachers-college-doctoral-manual-of-style/files/GSAS-Dissertation-Main-Template-9-19-2019.docx" TargetMode="External"/><Relationship Id="rId94" Type="http://schemas.openxmlformats.org/officeDocument/2006/relationships/hyperlink" Target="http://www.apa.org/apags/" TargetMode="External"/><Relationship Id="rId99" Type="http://schemas.openxmlformats.org/officeDocument/2006/relationships/hyperlink" Target="https://linkprotect.cudasvc.com/url?a=https%3a%2f%2fwww.apa.org%2fpractice%2fguidelines%2ftelepsychology&amp;c=E,1,Fkzv4W_cJfiKOK3igbsPmAE8cg2BMVAqNFpeYMogynOkinCSo67QAfsMAUUmpXas-Aum6oG9Wo0SQBBV1F5HwX1kRig8V8XQ2CKLPnA6Fnc,&amp;typo=1" TargetMode="External"/><Relationship Id="rId101" Type="http://schemas.openxmlformats.org/officeDocument/2006/relationships/hyperlink" Target="https://www.apa.org/pubs/journals/features/amp-a0035001.pdf" TargetMode="External"/><Relationship Id="rId4" Type="http://schemas.openxmlformats.org/officeDocument/2006/relationships/settings" Target="settings.xml"/><Relationship Id="rId9" Type="http://schemas.openxmlformats.org/officeDocument/2006/relationships/hyperlink" Target="http://www.apa.org" TargetMode="External"/><Relationship Id="rId13" Type="http://schemas.openxmlformats.org/officeDocument/2006/relationships/hyperlink" Target="http://catalog.tc.columbia.edu/tc/" TargetMode="External"/><Relationship Id="rId18" Type="http://schemas.openxmlformats.org/officeDocument/2006/relationships/hyperlink" Target="http://sexualrespect.columbia.edu/gender-based-misconduct-policy-students" TargetMode="External"/><Relationship Id="rId39" Type="http://schemas.openxmlformats.org/officeDocument/2006/relationships/hyperlink" Target="https://www.tc.columbia.edu/policylibrary/associate-provost-enrollment-services/grading-/" TargetMode="External"/><Relationship Id="rId109" Type="http://schemas.openxmlformats.org/officeDocument/2006/relationships/header" Target="header1.xml"/><Relationship Id="rId34" Type="http://schemas.openxmlformats.org/officeDocument/2006/relationships/diagramColors" Target="diagrams/colors3.xml"/><Relationship Id="rId50" Type="http://schemas.openxmlformats.org/officeDocument/2006/relationships/hyperlink" Target="https://secure.ethicspoint.com/domain/media/en/gui/22716/index.html" TargetMode="External"/><Relationship Id="rId55" Type="http://schemas.openxmlformats.org/officeDocument/2006/relationships/hyperlink" Target="mailto:embree@tc.columbia.edu" TargetMode="External"/><Relationship Id="rId76" Type="http://schemas.openxmlformats.org/officeDocument/2006/relationships/hyperlink" Target="https://www.appic.org/Internships/Internship-Application-AAPI-Portals/AAPI-For-Applicants/AAPI-Step-by-Step" TargetMode="External"/><Relationship Id="rId97" Type="http://schemas.openxmlformats.org/officeDocument/2006/relationships/hyperlink" Target="https://telementalhealthtraining.com/free-webinars" TargetMode="External"/><Relationship Id="rId104" Type="http://schemas.openxmlformats.org/officeDocument/2006/relationships/hyperlink" Target="https://www.telehealthresourcecenter.org/" TargetMode="External"/><Relationship Id="rId7" Type="http://schemas.openxmlformats.org/officeDocument/2006/relationships/endnotes" Target="endnotes.xml"/><Relationship Id="rId71" Type="http://schemas.openxmlformats.org/officeDocument/2006/relationships/hyperlink" Target="https://www.google.com/search?safe=active&amp;q=Evidence-based+practice+in+psychology.+American+Psychologist,+Vol+61(4),+May-June+2006,+271-285&amp;spell=1&amp;sa=X&amp;ved=0ahUKEwjpkL_0qqDdAhXvTN8KHeKVAFQQBQgkKAA" TargetMode="External"/><Relationship Id="rId92" Type="http://schemas.openxmlformats.org/officeDocument/2006/relationships/hyperlink" Target="http://www.nyspa.org" TargetMode="External"/><Relationship Id="rId2" Type="http://schemas.openxmlformats.org/officeDocument/2006/relationships/numbering" Target="numbering.xml"/><Relationship Id="rId29" Type="http://schemas.openxmlformats.org/officeDocument/2006/relationships/diagramColors" Target="diagrams/colors2.xml"/><Relationship Id="rId24" Type="http://schemas.openxmlformats.org/officeDocument/2006/relationships/diagramColors" Target="diagrams/colors1.xml"/><Relationship Id="rId40" Type="http://schemas.openxmlformats.org/officeDocument/2006/relationships/hyperlink" Target="mailto:registrar@tc.edu" TargetMode="External"/><Relationship Id="rId45" Type="http://schemas.openxmlformats.org/officeDocument/2006/relationships/hyperlink" Target="mailto:ssgbsm@columbia.edu" TargetMode="External"/><Relationship Id="rId66" Type="http://schemas.openxmlformats.org/officeDocument/2006/relationships/hyperlink" Target="https://psychpracticum.apa.org/resources/pdf/PsychPracticum_2019_Guidelines.pdf" TargetMode="External"/><Relationship Id="rId87" Type="http://schemas.openxmlformats.org/officeDocument/2006/relationships/hyperlink" Target="https://www.tc.columbia.edu/doctoral/forms/phd-students-forms/" TargetMode="External"/><Relationship Id="rId110" Type="http://schemas.openxmlformats.org/officeDocument/2006/relationships/header" Target="header2.xml"/><Relationship Id="rId61" Type="http://schemas.openxmlformats.org/officeDocument/2006/relationships/hyperlink" Target="https://help.liaisonedu.com/Time2Track_Help_Center/Trainees/Trainees_with_Individual_Accounts" TargetMode="External"/><Relationship Id="rId82" Type="http://schemas.openxmlformats.org/officeDocument/2006/relationships/hyperlink" Target="https://www.tc.columbia.edu/doctoral/forms/phd-students-forms/" TargetMode="External"/><Relationship Id="rId19" Type="http://schemas.openxmlformats.org/officeDocument/2006/relationships/hyperlink" Target="mailto:ombuds@tc.columbia.edu" TargetMode="External"/><Relationship Id="rId14" Type="http://schemas.openxmlformats.org/officeDocument/2006/relationships/hyperlink" Target="http://clio.columbia.edu/catalog?&amp;datasource=catalog&amp;q=psychotherapy+video&amp;search=true&amp;search_field=all_fields" TargetMode="External"/><Relationship Id="rId30" Type="http://schemas.microsoft.com/office/2007/relationships/diagramDrawing" Target="diagrams/drawing2.xml"/><Relationship Id="rId35" Type="http://schemas.microsoft.com/office/2007/relationships/diagramDrawing" Target="diagrams/drawing3.xml"/><Relationship Id="rId56" Type="http://schemas.openxmlformats.org/officeDocument/2006/relationships/hyperlink" Target="mailto:keller4@tc.columbia.edu" TargetMode="External"/><Relationship Id="rId77" Type="http://schemas.openxmlformats.org/officeDocument/2006/relationships/hyperlink" Target="mailto:gulizia@tc.columbia.edu" TargetMode="External"/><Relationship Id="rId100" Type="http://schemas.openxmlformats.org/officeDocument/2006/relationships/hyperlink" Target="https://info.americantelemed.org/covid-19-resources-quickstart-guide-landing" TargetMode="External"/><Relationship Id="rId105" Type="http://schemas.openxmlformats.org/officeDocument/2006/relationships/hyperlink" Target="http://www.op.nysed.gov/prof/psych/psychlic.htm" TargetMode="External"/><Relationship Id="rId8" Type="http://schemas.openxmlformats.org/officeDocument/2006/relationships/image" Target="media/image1.jpg"/><Relationship Id="rId51" Type="http://schemas.openxmlformats.org/officeDocument/2006/relationships/hyperlink" Target="mailto:cmm2148@tc.edu" TargetMode="External"/><Relationship Id="rId72" Type="http://schemas.openxmlformats.org/officeDocument/2006/relationships/hyperlink" Target="https://www.google.com/search?safe=active&amp;q=Evidence-based+practice+in+psychology.+American+Psychologist,+Vol+61(4),+May-June+2006,+271-285&amp;spell=1&amp;sa=X&amp;ved=0ahUKEwjpkL_0qqDdAhXvTN8KHeKVAFQQBQgkKAA" TargetMode="External"/><Relationship Id="rId93" Type="http://schemas.openxmlformats.org/officeDocument/2006/relationships/hyperlink" Target="http://www.sscpweb.org/" TargetMode="External"/><Relationship Id="rId98" Type="http://schemas.openxmlformats.org/officeDocument/2006/relationships/hyperlink" Target="https://www.relias.com/topic/telehealth" TargetMode="External"/><Relationship Id="rId3" Type="http://schemas.openxmlformats.org/officeDocument/2006/relationships/styles" Target="styles.xml"/><Relationship Id="rId25" Type="http://schemas.microsoft.com/office/2007/relationships/diagramDrawing" Target="diagrams/drawing1.xml"/><Relationship Id="rId46" Type="http://schemas.openxmlformats.org/officeDocument/2006/relationships/hyperlink" Target="https://sexualrespect.columbia.edu/university-policy" TargetMode="External"/><Relationship Id="rId67" Type="http://schemas.openxmlformats.org/officeDocument/2006/relationships/hyperlink" Target="mailto:rfr2109@tc.columbia.edu" TargetMode="External"/><Relationship Id="rId20" Type="http://schemas.openxmlformats.org/officeDocument/2006/relationships/hyperlink" Target="mailto:ombus@tc.columbia.edu" TargetMode="External"/><Relationship Id="rId41" Type="http://schemas.openxmlformats.org/officeDocument/2006/relationships/hyperlink" Target="mailto:registrar@tc.edu" TargetMode="External"/><Relationship Id="rId62" Type="http://schemas.openxmlformats.org/officeDocument/2006/relationships/hyperlink" Target="http://www.nysmandatedreporter.org/" TargetMode="External"/><Relationship Id="rId83" Type="http://schemas.openxmlformats.org/officeDocument/2006/relationships/hyperlink" Target="https://www.tc.columbia.edu/doctoral/degree-audit/" TargetMode="External"/><Relationship Id="rId88" Type="http://schemas.openxmlformats.org/officeDocument/2006/relationships/hyperlink" Target="http://www.tc.columbia.edu/admissions/financial-aid/financial-aid-sources/fellowships-and-grants/" TargetMode="External"/><Relationship Id="rId111"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44E991D6-05E9-6C4B-BBEF-94451CFDF87A}" type="doc">
      <dgm:prSet loTypeId="urn:microsoft.com/office/officeart/2005/8/layout/vList6" loCatId="" qsTypeId="urn:microsoft.com/office/officeart/2005/8/quickstyle/simple1" qsCatId="simple" csTypeId="urn:microsoft.com/office/officeart/2005/8/colors/accent1_2" csCatId="accent1" phldr="1"/>
      <dgm:spPr/>
      <dgm:t>
        <a:bodyPr/>
        <a:lstStyle/>
        <a:p>
          <a:endParaRPr lang="en-US"/>
        </a:p>
      </dgm:t>
    </dgm:pt>
    <dgm:pt modelId="{0FE7BDD0-5A3A-2B4B-BDED-00259CD26885}">
      <dgm:prSet phldrT="[Text]"/>
      <dgm:spPr/>
      <dgm:t>
        <a:bodyPr/>
        <a:lstStyle/>
        <a:p>
          <a:r>
            <a:rPr lang="en-US"/>
            <a:t>1st year </a:t>
          </a:r>
        </a:p>
      </dgm:t>
    </dgm:pt>
    <dgm:pt modelId="{7A801E8B-53A3-A54E-BC4D-0514DDAE0F85}" type="parTrans" cxnId="{61427532-238F-DF4B-BE3C-5B519EF4CC4E}">
      <dgm:prSet/>
      <dgm:spPr/>
      <dgm:t>
        <a:bodyPr/>
        <a:lstStyle/>
        <a:p>
          <a:endParaRPr lang="en-US"/>
        </a:p>
      </dgm:t>
    </dgm:pt>
    <dgm:pt modelId="{23D341C1-0218-3044-9F7B-A32B74F7E97D}" type="sibTrans" cxnId="{61427532-238F-DF4B-BE3C-5B519EF4CC4E}">
      <dgm:prSet/>
      <dgm:spPr/>
      <dgm:t>
        <a:bodyPr/>
        <a:lstStyle/>
        <a:p>
          <a:endParaRPr lang="en-US"/>
        </a:p>
      </dgm:t>
    </dgm:pt>
    <dgm:pt modelId="{3FE9F079-F7FE-3040-BCAF-DDF8E9911CFC}">
      <dgm:prSet phldrT="[Text]"/>
      <dgm:spPr/>
      <dgm:t>
        <a:bodyPr/>
        <a:lstStyle/>
        <a:p>
          <a:pPr>
            <a:buFont typeface="Arial" panose="020B0604020202020204" pitchFamily="34" charset="0"/>
            <a:buChar char="•"/>
          </a:pPr>
          <a:r>
            <a:rPr lang="en-US" b="1" i="0" u="none"/>
            <a:t>Confirm transferable credits</a:t>
          </a:r>
          <a:r>
            <a:rPr lang="en-US" b="0" i="0" u="none"/>
            <a:t>:while you have up to the end of your 2nd year, the earlier you do this, the easier it is to create your academic plan as required by ODS. This step will also help you determine which required courses can be waived.</a:t>
          </a:r>
          <a:endParaRPr lang="en-US"/>
        </a:p>
      </dgm:t>
    </dgm:pt>
    <dgm:pt modelId="{5AB6FDA5-EF73-B04D-A88F-82AE968C5019}" type="parTrans" cxnId="{642EC385-EADE-E346-A3AD-1CB666AA4ECA}">
      <dgm:prSet/>
      <dgm:spPr/>
      <dgm:t>
        <a:bodyPr/>
        <a:lstStyle/>
        <a:p>
          <a:endParaRPr lang="en-US"/>
        </a:p>
      </dgm:t>
    </dgm:pt>
    <dgm:pt modelId="{DE398AB3-C23B-2740-9862-9C79C473B29F}" type="sibTrans" cxnId="{642EC385-EADE-E346-A3AD-1CB666AA4ECA}">
      <dgm:prSet/>
      <dgm:spPr/>
      <dgm:t>
        <a:bodyPr/>
        <a:lstStyle/>
        <a:p>
          <a:endParaRPr lang="en-US"/>
        </a:p>
      </dgm:t>
    </dgm:pt>
    <dgm:pt modelId="{22F1042C-64E0-164D-96B4-15115BB6DD75}">
      <dgm:prSet phldrT="[Text]"/>
      <dgm:spPr/>
      <dgm:t>
        <a:bodyPr/>
        <a:lstStyle/>
        <a:p>
          <a:r>
            <a:rPr lang="en-US"/>
            <a:t>2nd year</a:t>
          </a:r>
        </a:p>
      </dgm:t>
    </dgm:pt>
    <dgm:pt modelId="{C2705303-459E-5245-B092-64023B3AC84C}" type="parTrans" cxnId="{B5DF11F0-40FC-9747-82E1-E0F7BF9C559A}">
      <dgm:prSet/>
      <dgm:spPr/>
      <dgm:t>
        <a:bodyPr/>
        <a:lstStyle/>
        <a:p>
          <a:endParaRPr lang="en-US"/>
        </a:p>
      </dgm:t>
    </dgm:pt>
    <dgm:pt modelId="{61983856-8712-DC44-8C8D-C2CB381F016A}" type="sibTrans" cxnId="{B5DF11F0-40FC-9747-82E1-E0F7BF9C559A}">
      <dgm:prSet/>
      <dgm:spPr/>
      <dgm:t>
        <a:bodyPr/>
        <a:lstStyle/>
        <a:p>
          <a:endParaRPr lang="en-US"/>
        </a:p>
      </dgm:t>
    </dgm:pt>
    <dgm:pt modelId="{466F903B-6143-994A-B3CE-A981BB603CA8}">
      <dgm:prSet phldrT="[Text]"/>
      <dgm:spPr/>
      <dgm:t>
        <a:bodyPr/>
        <a:lstStyle/>
        <a:p>
          <a:pPr>
            <a:buFont typeface="Arial" panose="020B0604020202020204" pitchFamily="34" charset="0"/>
            <a:buChar char="•"/>
          </a:pPr>
          <a:r>
            <a:rPr lang="en-US" b="1" i="0" u="none"/>
            <a:t>Start 2nd Year Project</a:t>
          </a:r>
          <a:endParaRPr lang="en-US"/>
        </a:p>
      </dgm:t>
    </dgm:pt>
    <dgm:pt modelId="{749AD488-A5A8-2940-86F5-2F4078DAE84E}" type="parTrans" cxnId="{0C4CEA5C-9E0E-B54F-B9AC-EC61C5A9B623}">
      <dgm:prSet/>
      <dgm:spPr/>
      <dgm:t>
        <a:bodyPr/>
        <a:lstStyle/>
        <a:p>
          <a:endParaRPr lang="en-US"/>
        </a:p>
      </dgm:t>
    </dgm:pt>
    <dgm:pt modelId="{0C746BB7-3ADC-F048-B7CC-F69C4608ED2F}" type="sibTrans" cxnId="{0C4CEA5C-9E0E-B54F-B9AC-EC61C5A9B623}">
      <dgm:prSet/>
      <dgm:spPr/>
      <dgm:t>
        <a:bodyPr/>
        <a:lstStyle/>
        <a:p>
          <a:endParaRPr lang="en-US"/>
        </a:p>
      </dgm:t>
    </dgm:pt>
    <dgm:pt modelId="{22425F7B-A912-B64C-9C83-7CAEFF5FF837}">
      <dgm:prSet/>
      <dgm:spPr/>
      <dgm:t>
        <a:bodyPr/>
        <a:lstStyle/>
        <a:p>
          <a:pPr>
            <a:buFont typeface="Arial" panose="020B0604020202020204" pitchFamily="34" charset="0"/>
            <a:buChar char="•"/>
          </a:pPr>
          <a:r>
            <a:rPr lang="en-US" b="1" i="0" u="none"/>
            <a:t>Complete an intake report</a:t>
          </a:r>
        </a:p>
      </dgm:t>
    </dgm:pt>
    <dgm:pt modelId="{2F82875A-03BC-1540-B70A-F8164D0E7975}" type="parTrans" cxnId="{0C916393-3B89-3349-85C7-6184C3197E2F}">
      <dgm:prSet/>
      <dgm:spPr/>
      <dgm:t>
        <a:bodyPr/>
        <a:lstStyle/>
        <a:p>
          <a:endParaRPr lang="en-US"/>
        </a:p>
      </dgm:t>
    </dgm:pt>
    <dgm:pt modelId="{CD824FE3-8454-EB48-9261-CC55EFE8811A}" type="sibTrans" cxnId="{0C916393-3B89-3349-85C7-6184C3197E2F}">
      <dgm:prSet/>
      <dgm:spPr/>
      <dgm:t>
        <a:bodyPr/>
        <a:lstStyle/>
        <a:p>
          <a:endParaRPr lang="en-US"/>
        </a:p>
      </dgm:t>
    </dgm:pt>
    <dgm:pt modelId="{3F066159-50FB-3143-856D-1BD540B4BCF1}">
      <dgm:prSet/>
      <dgm:spPr/>
      <dgm:t>
        <a:bodyPr/>
        <a:lstStyle/>
        <a:p>
          <a:pPr>
            <a:buFont typeface="Arial" panose="020B0604020202020204" pitchFamily="34" charset="0"/>
            <a:buChar char="•"/>
          </a:pPr>
          <a:r>
            <a:rPr lang="en-US" b="1" i="0" u="none"/>
            <a:t>Complete 2 testing reports</a:t>
          </a:r>
        </a:p>
      </dgm:t>
    </dgm:pt>
    <dgm:pt modelId="{EB67EE7B-702A-814B-85E9-CA6E5A9B89E4}" type="parTrans" cxnId="{08801D52-7934-844A-A467-E98737E44C9F}">
      <dgm:prSet/>
      <dgm:spPr/>
      <dgm:t>
        <a:bodyPr/>
        <a:lstStyle/>
        <a:p>
          <a:endParaRPr lang="en-US"/>
        </a:p>
      </dgm:t>
    </dgm:pt>
    <dgm:pt modelId="{F6AF05BA-C78A-E542-8A46-0323BCC15DF8}" type="sibTrans" cxnId="{08801D52-7934-844A-A467-E98737E44C9F}">
      <dgm:prSet/>
      <dgm:spPr/>
      <dgm:t>
        <a:bodyPr/>
        <a:lstStyle/>
        <a:p>
          <a:endParaRPr lang="en-US"/>
        </a:p>
      </dgm:t>
    </dgm:pt>
    <dgm:pt modelId="{A7589FBF-41C6-114D-8685-41A24A3A0762}">
      <dgm:prSet/>
      <dgm:spPr/>
      <dgm:t>
        <a:bodyPr/>
        <a:lstStyle/>
        <a:p>
          <a:pPr>
            <a:buFont typeface="Arial" panose="020B0604020202020204" pitchFamily="34" charset="0"/>
            <a:buChar char="•"/>
          </a:pPr>
          <a:r>
            <a:rPr lang="en-US" b="1" i="0" u="none"/>
            <a:t>Start therapy cases at </a:t>
          </a:r>
          <a:r>
            <a:rPr lang="en-US" b="1" i="1" u="none"/>
            <a:t>DHCEPS- </a:t>
          </a:r>
          <a:r>
            <a:rPr lang="en-US" b="0" i="0" u="none"/>
            <a:t>typically</a:t>
          </a:r>
          <a:r>
            <a:rPr lang="en-US" b="1" i="0" u="none"/>
            <a:t> </a:t>
          </a:r>
          <a:r>
            <a:rPr lang="en-US" b="0" i="0" u="none"/>
            <a:t>4 cases in the first year, subsequent years you can request more cases to accrue hours for internship</a:t>
          </a:r>
          <a:endParaRPr lang="en-US" b="1" i="0" u="none"/>
        </a:p>
      </dgm:t>
    </dgm:pt>
    <dgm:pt modelId="{E707343D-EEA5-4847-991A-740785555C8B}" type="parTrans" cxnId="{5A33F846-6559-1A4B-A0DF-8C7B7C7BA0F6}">
      <dgm:prSet/>
      <dgm:spPr/>
      <dgm:t>
        <a:bodyPr/>
        <a:lstStyle/>
        <a:p>
          <a:endParaRPr lang="en-US"/>
        </a:p>
      </dgm:t>
    </dgm:pt>
    <dgm:pt modelId="{14A1BB77-9FB5-D64B-9EC4-B53AEC1A3580}" type="sibTrans" cxnId="{5A33F846-6559-1A4B-A0DF-8C7B7C7BA0F6}">
      <dgm:prSet/>
      <dgm:spPr/>
      <dgm:t>
        <a:bodyPr/>
        <a:lstStyle/>
        <a:p>
          <a:endParaRPr lang="en-US"/>
        </a:p>
      </dgm:t>
    </dgm:pt>
    <dgm:pt modelId="{BB56BC7B-46F7-D343-8F1A-C654855357EB}">
      <dgm:prSet/>
      <dgm:spPr/>
      <dgm:t>
        <a:bodyPr/>
        <a:lstStyle/>
        <a:p>
          <a:pPr>
            <a:buFont typeface="Arial" panose="020B0604020202020204" pitchFamily="34" charset="0"/>
            <a:buChar char="•"/>
          </a:pPr>
          <a:r>
            <a:rPr lang="en-US" b="1" i="0" u="none"/>
            <a:t>Seek 3rd yr informal externship </a:t>
          </a:r>
          <a:r>
            <a:rPr lang="en-US" b="0" i="0" u="none"/>
            <a:t>on individual bases per discussion with advisor</a:t>
          </a:r>
          <a:endParaRPr lang="en-US" b="1" i="0" u="none"/>
        </a:p>
      </dgm:t>
    </dgm:pt>
    <dgm:pt modelId="{7D52177D-F77A-B94C-B04E-21D82A3FBAAF}" type="parTrans" cxnId="{89D03184-43AF-5849-A58B-940A1047208D}">
      <dgm:prSet/>
      <dgm:spPr/>
      <dgm:t>
        <a:bodyPr/>
        <a:lstStyle/>
        <a:p>
          <a:endParaRPr lang="en-US"/>
        </a:p>
      </dgm:t>
    </dgm:pt>
    <dgm:pt modelId="{42745801-538E-CC41-8DB4-9D239F115FC8}" type="sibTrans" cxnId="{89D03184-43AF-5849-A58B-940A1047208D}">
      <dgm:prSet/>
      <dgm:spPr/>
      <dgm:t>
        <a:bodyPr/>
        <a:lstStyle/>
        <a:p>
          <a:endParaRPr lang="en-US"/>
        </a:p>
      </dgm:t>
    </dgm:pt>
    <dgm:pt modelId="{F10F8E02-B9C3-F343-A289-54CBFAD19248}">
      <dgm:prSet/>
      <dgm:spPr/>
      <dgm:t>
        <a:bodyPr/>
        <a:lstStyle/>
        <a:p>
          <a:pPr>
            <a:buFont typeface="Arial" panose="020B0604020202020204" pitchFamily="34" charset="0"/>
            <a:buChar char="•"/>
          </a:pPr>
          <a:r>
            <a:rPr lang="en-US" b="1" i="0" u="none"/>
            <a:t>Complete and file 2nd year project</a:t>
          </a:r>
        </a:p>
      </dgm:t>
    </dgm:pt>
    <dgm:pt modelId="{1738A39B-E692-484F-843A-00FC4F3471AC}" type="parTrans" cxnId="{DB69358E-BE05-2D4E-B973-DEC4120D882D}">
      <dgm:prSet/>
      <dgm:spPr/>
      <dgm:t>
        <a:bodyPr/>
        <a:lstStyle/>
        <a:p>
          <a:endParaRPr lang="en-US"/>
        </a:p>
      </dgm:t>
    </dgm:pt>
    <dgm:pt modelId="{6EBD1A16-38FB-E344-A9F1-7D74C0C433C0}" type="sibTrans" cxnId="{DB69358E-BE05-2D4E-B973-DEC4120D882D}">
      <dgm:prSet/>
      <dgm:spPr/>
      <dgm:t>
        <a:bodyPr/>
        <a:lstStyle/>
        <a:p>
          <a:endParaRPr lang="en-US"/>
        </a:p>
      </dgm:t>
    </dgm:pt>
    <dgm:pt modelId="{09D90093-12D0-4C46-A7A2-1F12B958FD0C}" type="pres">
      <dgm:prSet presAssocID="{44E991D6-05E9-6C4B-BBEF-94451CFDF87A}" presName="Name0" presStyleCnt="0">
        <dgm:presLayoutVars>
          <dgm:dir/>
          <dgm:animLvl val="lvl"/>
          <dgm:resizeHandles/>
        </dgm:presLayoutVars>
      </dgm:prSet>
      <dgm:spPr/>
    </dgm:pt>
    <dgm:pt modelId="{7461E5DD-64DB-474D-B8CC-A85BBBB2262F}" type="pres">
      <dgm:prSet presAssocID="{0FE7BDD0-5A3A-2B4B-BDED-00259CD26885}" presName="linNode" presStyleCnt="0"/>
      <dgm:spPr/>
    </dgm:pt>
    <dgm:pt modelId="{D2656CE7-797B-9145-B019-BCF9A290D86E}" type="pres">
      <dgm:prSet presAssocID="{0FE7BDD0-5A3A-2B4B-BDED-00259CD26885}" presName="parentShp" presStyleLbl="node1" presStyleIdx="0" presStyleCnt="2">
        <dgm:presLayoutVars>
          <dgm:bulletEnabled val="1"/>
        </dgm:presLayoutVars>
      </dgm:prSet>
      <dgm:spPr/>
    </dgm:pt>
    <dgm:pt modelId="{77402312-BD8C-D246-B24B-854536878442}" type="pres">
      <dgm:prSet presAssocID="{0FE7BDD0-5A3A-2B4B-BDED-00259CD26885}" presName="childShp" presStyleLbl="bgAccFollowNode1" presStyleIdx="0" presStyleCnt="2">
        <dgm:presLayoutVars>
          <dgm:bulletEnabled val="1"/>
        </dgm:presLayoutVars>
      </dgm:prSet>
      <dgm:spPr/>
    </dgm:pt>
    <dgm:pt modelId="{7771EF12-6C44-D742-8618-F1BC239D41DB}" type="pres">
      <dgm:prSet presAssocID="{23D341C1-0218-3044-9F7B-A32B74F7E97D}" presName="spacing" presStyleCnt="0"/>
      <dgm:spPr/>
    </dgm:pt>
    <dgm:pt modelId="{E7A47E84-9B09-4346-A132-87BEE2FA728F}" type="pres">
      <dgm:prSet presAssocID="{22F1042C-64E0-164D-96B4-15115BB6DD75}" presName="linNode" presStyleCnt="0"/>
      <dgm:spPr/>
    </dgm:pt>
    <dgm:pt modelId="{40585F15-CDED-774F-8581-356DC5A9B8D9}" type="pres">
      <dgm:prSet presAssocID="{22F1042C-64E0-164D-96B4-15115BB6DD75}" presName="parentShp" presStyleLbl="node1" presStyleIdx="1" presStyleCnt="2">
        <dgm:presLayoutVars>
          <dgm:bulletEnabled val="1"/>
        </dgm:presLayoutVars>
      </dgm:prSet>
      <dgm:spPr/>
    </dgm:pt>
    <dgm:pt modelId="{15CC7ABD-D603-1E4C-B388-EAD76A298218}" type="pres">
      <dgm:prSet presAssocID="{22F1042C-64E0-164D-96B4-15115BB6DD75}" presName="childShp" presStyleLbl="bgAccFollowNode1" presStyleIdx="1" presStyleCnt="2">
        <dgm:presLayoutVars>
          <dgm:bulletEnabled val="1"/>
        </dgm:presLayoutVars>
      </dgm:prSet>
      <dgm:spPr/>
    </dgm:pt>
  </dgm:ptLst>
  <dgm:cxnLst>
    <dgm:cxn modelId="{B8CC1F11-4F86-9F49-9025-EFB359B0BD4D}" type="presOf" srcId="{BB56BC7B-46F7-D343-8F1A-C654855357EB}" destId="{15CC7ABD-D603-1E4C-B388-EAD76A298218}" srcOrd="0" destOrd="2" presId="urn:microsoft.com/office/officeart/2005/8/layout/vList6"/>
    <dgm:cxn modelId="{AA59EB12-2387-EB45-850F-2467DD4B3161}" type="presOf" srcId="{3FE9F079-F7FE-3040-BCAF-DDF8E9911CFC}" destId="{77402312-BD8C-D246-B24B-854536878442}" srcOrd="0" destOrd="0" presId="urn:microsoft.com/office/officeart/2005/8/layout/vList6"/>
    <dgm:cxn modelId="{61427532-238F-DF4B-BE3C-5B519EF4CC4E}" srcId="{44E991D6-05E9-6C4B-BBEF-94451CFDF87A}" destId="{0FE7BDD0-5A3A-2B4B-BDED-00259CD26885}" srcOrd="0" destOrd="0" parTransId="{7A801E8B-53A3-A54E-BC4D-0514DDAE0F85}" sibTransId="{23D341C1-0218-3044-9F7B-A32B74F7E97D}"/>
    <dgm:cxn modelId="{FC24F03A-DA7D-2C4C-8131-96A4C92FB4F2}" type="presOf" srcId="{44E991D6-05E9-6C4B-BBEF-94451CFDF87A}" destId="{09D90093-12D0-4C46-A7A2-1F12B958FD0C}" srcOrd="0" destOrd="0" presId="urn:microsoft.com/office/officeart/2005/8/layout/vList6"/>
    <dgm:cxn modelId="{0C4CEA5C-9E0E-B54F-B9AC-EC61C5A9B623}" srcId="{22F1042C-64E0-164D-96B4-15115BB6DD75}" destId="{466F903B-6143-994A-B3CE-A981BB603CA8}" srcOrd="0" destOrd="0" parTransId="{749AD488-A5A8-2940-86F5-2F4078DAE84E}" sibTransId="{0C746BB7-3ADC-F048-B7CC-F69C4608ED2F}"/>
    <dgm:cxn modelId="{8B6B0562-1AA1-8C4B-BCB3-1FF3ED031917}" type="presOf" srcId="{F10F8E02-B9C3-F343-A289-54CBFAD19248}" destId="{15CC7ABD-D603-1E4C-B388-EAD76A298218}" srcOrd="0" destOrd="3" presId="urn:microsoft.com/office/officeart/2005/8/layout/vList6"/>
    <dgm:cxn modelId="{5A33F846-6559-1A4B-A0DF-8C7B7C7BA0F6}" srcId="{22F1042C-64E0-164D-96B4-15115BB6DD75}" destId="{A7589FBF-41C6-114D-8685-41A24A3A0762}" srcOrd="1" destOrd="0" parTransId="{E707343D-EEA5-4847-991A-740785555C8B}" sibTransId="{14A1BB77-9FB5-D64B-9EC4-B53AEC1A3580}"/>
    <dgm:cxn modelId="{08801D52-7934-844A-A467-E98737E44C9F}" srcId="{0FE7BDD0-5A3A-2B4B-BDED-00259CD26885}" destId="{3F066159-50FB-3143-856D-1BD540B4BCF1}" srcOrd="2" destOrd="0" parTransId="{EB67EE7B-702A-814B-85E9-CA6E5A9B89E4}" sibTransId="{F6AF05BA-C78A-E542-8A46-0323BCC15DF8}"/>
    <dgm:cxn modelId="{89D03184-43AF-5849-A58B-940A1047208D}" srcId="{22F1042C-64E0-164D-96B4-15115BB6DD75}" destId="{BB56BC7B-46F7-D343-8F1A-C654855357EB}" srcOrd="2" destOrd="0" parTransId="{7D52177D-F77A-B94C-B04E-21D82A3FBAAF}" sibTransId="{42745801-538E-CC41-8DB4-9D239F115FC8}"/>
    <dgm:cxn modelId="{642EC385-EADE-E346-A3AD-1CB666AA4ECA}" srcId="{0FE7BDD0-5A3A-2B4B-BDED-00259CD26885}" destId="{3FE9F079-F7FE-3040-BCAF-DDF8E9911CFC}" srcOrd="0" destOrd="0" parTransId="{5AB6FDA5-EF73-B04D-A88F-82AE968C5019}" sibTransId="{DE398AB3-C23B-2740-9862-9C79C473B29F}"/>
    <dgm:cxn modelId="{E5EDD488-B03F-3E4C-8845-A4A989EECA59}" type="presOf" srcId="{22F1042C-64E0-164D-96B4-15115BB6DD75}" destId="{40585F15-CDED-774F-8581-356DC5A9B8D9}" srcOrd="0" destOrd="0" presId="urn:microsoft.com/office/officeart/2005/8/layout/vList6"/>
    <dgm:cxn modelId="{DB69358E-BE05-2D4E-B973-DEC4120D882D}" srcId="{22F1042C-64E0-164D-96B4-15115BB6DD75}" destId="{F10F8E02-B9C3-F343-A289-54CBFAD19248}" srcOrd="3" destOrd="0" parTransId="{1738A39B-E692-484F-843A-00FC4F3471AC}" sibTransId="{6EBD1A16-38FB-E344-A9F1-7D74C0C433C0}"/>
    <dgm:cxn modelId="{D20EFD8E-BD26-1D47-A011-CFF125C3726F}" type="presOf" srcId="{466F903B-6143-994A-B3CE-A981BB603CA8}" destId="{15CC7ABD-D603-1E4C-B388-EAD76A298218}" srcOrd="0" destOrd="0" presId="urn:microsoft.com/office/officeart/2005/8/layout/vList6"/>
    <dgm:cxn modelId="{FFDD4D90-08F7-B442-9C10-B695F8270E78}" type="presOf" srcId="{0FE7BDD0-5A3A-2B4B-BDED-00259CD26885}" destId="{D2656CE7-797B-9145-B019-BCF9A290D86E}" srcOrd="0" destOrd="0" presId="urn:microsoft.com/office/officeart/2005/8/layout/vList6"/>
    <dgm:cxn modelId="{0C916393-3B89-3349-85C7-6184C3197E2F}" srcId="{0FE7BDD0-5A3A-2B4B-BDED-00259CD26885}" destId="{22425F7B-A912-B64C-9C83-7CAEFF5FF837}" srcOrd="1" destOrd="0" parTransId="{2F82875A-03BC-1540-B70A-F8164D0E7975}" sibTransId="{CD824FE3-8454-EB48-9261-CC55EFE8811A}"/>
    <dgm:cxn modelId="{C0A3969F-BD20-1944-91EA-6882CFA8813E}" type="presOf" srcId="{A7589FBF-41C6-114D-8685-41A24A3A0762}" destId="{15CC7ABD-D603-1E4C-B388-EAD76A298218}" srcOrd="0" destOrd="1" presId="urn:microsoft.com/office/officeart/2005/8/layout/vList6"/>
    <dgm:cxn modelId="{E589C3A0-B74F-9548-9BAB-81AAF01F49EB}" type="presOf" srcId="{3F066159-50FB-3143-856D-1BD540B4BCF1}" destId="{77402312-BD8C-D246-B24B-854536878442}" srcOrd="0" destOrd="2" presId="urn:microsoft.com/office/officeart/2005/8/layout/vList6"/>
    <dgm:cxn modelId="{0667A2D3-11CF-514A-9634-DB6444553C4A}" type="presOf" srcId="{22425F7B-A912-B64C-9C83-7CAEFF5FF837}" destId="{77402312-BD8C-D246-B24B-854536878442}" srcOrd="0" destOrd="1" presId="urn:microsoft.com/office/officeart/2005/8/layout/vList6"/>
    <dgm:cxn modelId="{B5DF11F0-40FC-9747-82E1-E0F7BF9C559A}" srcId="{44E991D6-05E9-6C4B-BBEF-94451CFDF87A}" destId="{22F1042C-64E0-164D-96B4-15115BB6DD75}" srcOrd="1" destOrd="0" parTransId="{C2705303-459E-5245-B092-64023B3AC84C}" sibTransId="{61983856-8712-DC44-8C8D-C2CB381F016A}"/>
    <dgm:cxn modelId="{29CF8711-18F1-0048-9191-67838186760A}" type="presParOf" srcId="{09D90093-12D0-4C46-A7A2-1F12B958FD0C}" destId="{7461E5DD-64DB-474D-B8CC-A85BBBB2262F}" srcOrd="0" destOrd="0" presId="urn:microsoft.com/office/officeart/2005/8/layout/vList6"/>
    <dgm:cxn modelId="{E30E3219-976A-9A4F-BB8E-0755CD158972}" type="presParOf" srcId="{7461E5DD-64DB-474D-B8CC-A85BBBB2262F}" destId="{D2656CE7-797B-9145-B019-BCF9A290D86E}" srcOrd="0" destOrd="0" presId="urn:microsoft.com/office/officeart/2005/8/layout/vList6"/>
    <dgm:cxn modelId="{22AC61C6-DB91-0640-AAAA-4235425F2D69}" type="presParOf" srcId="{7461E5DD-64DB-474D-B8CC-A85BBBB2262F}" destId="{77402312-BD8C-D246-B24B-854536878442}" srcOrd="1" destOrd="0" presId="urn:microsoft.com/office/officeart/2005/8/layout/vList6"/>
    <dgm:cxn modelId="{57DC04A4-A11C-B54A-BF16-9FB9906D56C3}" type="presParOf" srcId="{09D90093-12D0-4C46-A7A2-1F12B958FD0C}" destId="{7771EF12-6C44-D742-8618-F1BC239D41DB}" srcOrd="1" destOrd="0" presId="urn:microsoft.com/office/officeart/2005/8/layout/vList6"/>
    <dgm:cxn modelId="{4CDF4B4B-5F11-7B4A-9F9B-7BDD34AC30D0}" type="presParOf" srcId="{09D90093-12D0-4C46-A7A2-1F12B958FD0C}" destId="{E7A47E84-9B09-4346-A132-87BEE2FA728F}" srcOrd="2" destOrd="0" presId="urn:microsoft.com/office/officeart/2005/8/layout/vList6"/>
    <dgm:cxn modelId="{5DF64AA9-D610-1142-A3BD-66F2845B0808}" type="presParOf" srcId="{E7A47E84-9B09-4346-A132-87BEE2FA728F}" destId="{40585F15-CDED-774F-8581-356DC5A9B8D9}" srcOrd="0" destOrd="0" presId="urn:microsoft.com/office/officeart/2005/8/layout/vList6"/>
    <dgm:cxn modelId="{2243B6E6-D092-4F42-A40C-489C2A35A29C}" type="presParOf" srcId="{E7A47E84-9B09-4346-A132-87BEE2FA728F}" destId="{15CC7ABD-D603-1E4C-B388-EAD76A298218}" srcOrd="1" destOrd="0" presId="urn:microsoft.com/office/officeart/2005/8/layout/vList6"/>
  </dgm:cxnLst>
  <dgm:bg/>
  <dgm:whole/>
  <dgm:extLst>
    <a:ext uri="http://schemas.microsoft.com/office/drawing/2008/diagram">
      <dsp:dataModelExt xmlns:dsp="http://schemas.microsoft.com/office/drawing/2008/diagram" relId="rId25"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B8E4F39D-AA5E-8142-9B91-ED23A36EA54E}" type="doc">
      <dgm:prSet loTypeId="urn:microsoft.com/office/officeart/2005/8/layout/vList6" loCatId="" qsTypeId="urn:microsoft.com/office/officeart/2005/8/quickstyle/simple1" qsCatId="simple" csTypeId="urn:microsoft.com/office/officeart/2005/8/colors/accent1_2" csCatId="accent1" phldr="1"/>
      <dgm:spPr/>
      <dgm:t>
        <a:bodyPr/>
        <a:lstStyle/>
        <a:p>
          <a:endParaRPr lang="en-US"/>
        </a:p>
      </dgm:t>
    </dgm:pt>
    <dgm:pt modelId="{C0DDB705-7122-7845-809F-60F8F3D34B84}">
      <dgm:prSet phldrT="[Text]"/>
      <dgm:spPr/>
      <dgm:t>
        <a:bodyPr/>
        <a:lstStyle/>
        <a:p>
          <a:r>
            <a:rPr lang="en-US"/>
            <a:t>3rd year</a:t>
          </a:r>
        </a:p>
      </dgm:t>
    </dgm:pt>
    <dgm:pt modelId="{03312F68-B4E8-1E44-A19C-46F6A6C1C134}" type="parTrans" cxnId="{769E508F-5AE5-F146-8C05-8E14F5327127}">
      <dgm:prSet/>
      <dgm:spPr/>
      <dgm:t>
        <a:bodyPr/>
        <a:lstStyle/>
        <a:p>
          <a:endParaRPr lang="en-US"/>
        </a:p>
      </dgm:t>
    </dgm:pt>
    <dgm:pt modelId="{1F1235B1-5FF8-7846-B26A-1BF176634192}" type="sibTrans" cxnId="{769E508F-5AE5-F146-8C05-8E14F5327127}">
      <dgm:prSet/>
      <dgm:spPr/>
      <dgm:t>
        <a:bodyPr/>
        <a:lstStyle/>
        <a:p>
          <a:endParaRPr lang="en-US"/>
        </a:p>
      </dgm:t>
    </dgm:pt>
    <dgm:pt modelId="{CA965A80-9F5E-3849-A39F-78FA3B6069C0}">
      <dgm:prSet phldrT="[Text]"/>
      <dgm:spPr/>
      <dgm:t>
        <a:bodyPr/>
        <a:lstStyle/>
        <a:p>
          <a:pPr>
            <a:buFont typeface="Arial" panose="020B0604020202020204" pitchFamily="34" charset="0"/>
            <a:buChar char="•"/>
          </a:pPr>
          <a:r>
            <a:rPr lang="en-US" b="1" i="0" u="none"/>
            <a:t>Complete and file 2nd yr project by beginning of 3rd yr</a:t>
          </a:r>
          <a:endParaRPr lang="en-US"/>
        </a:p>
      </dgm:t>
    </dgm:pt>
    <dgm:pt modelId="{E4E5778C-49D9-4C40-ACDC-DC22B98B4A6C}" type="parTrans" cxnId="{9D522551-7F05-3244-83E5-1EAA2C750F5F}">
      <dgm:prSet/>
      <dgm:spPr/>
      <dgm:t>
        <a:bodyPr/>
        <a:lstStyle/>
        <a:p>
          <a:endParaRPr lang="en-US"/>
        </a:p>
      </dgm:t>
    </dgm:pt>
    <dgm:pt modelId="{1ABF0F1A-7AE0-6140-86C7-6EF3F21BC0A2}" type="sibTrans" cxnId="{9D522551-7F05-3244-83E5-1EAA2C750F5F}">
      <dgm:prSet/>
      <dgm:spPr/>
      <dgm:t>
        <a:bodyPr/>
        <a:lstStyle/>
        <a:p>
          <a:endParaRPr lang="en-US"/>
        </a:p>
      </dgm:t>
    </dgm:pt>
    <dgm:pt modelId="{E96DF119-93EC-5246-AE92-06F4671E7F0B}">
      <dgm:prSet phldrT="[Text]"/>
      <dgm:spPr/>
      <dgm:t>
        <a:bodyPr/>
        <a:lstStyle/>
        <a:p>
          <a:r>
            <a:rPr lang="en-US"/>
            <a:t>3rd year cont</a:t>
          </a:r>
        </a:p>
      </dgm:t>
    </dgm:pt>
    <dgm:pt modelId="{95C7D8A4-13B5-1342-9C2A-2CC923B5FCB9}" type="parTrans" cxnId="{E7DB39AB-E1E8-4243-82F5-C3E39274DD68}">
      <dgm:prSet/>
      <dgm:spPr/>
      <dgm:t>
        <a:bodyPr/>
        <a:lstStyle/>
        <a:p>
          <a:endParaRPr lang="en-US"/>
        </a:p>
      </dgm:t>
    </dgm:pt>
    <dgm:pt modelId="{E5452039-EE14-ED46-AE8B-3502110999D5}" type="sibTrans" cxnId="{E7DB39AB-E1E8-4243-82F5-C3E39274DD68}">
      <dgm:prSet/>
      <dgm:spPr/>
      <dgm:t>
        <a:bodyPr/>
        <a:lstStyle/>
        <a:p>
          <a:endParaRPr lang="en-US"/>
        </a:p>
      </dgm:t>
    </dgm:pt>
    <dgm:pt modelId="{2FF9B0CB-F53A-004E-A9EB-54B716DB3E24}">
      <dgm:prSet phldrT="[Text]"/>
      <dgm:spPr/>
      <dgm:t>
        <a:bodyPr/>
        <a:lstStyle/>
        <a:p>
          <a:pPr>
            <a:buFont typeface="Arial" panose="020B0604020202020204" pitchFamily="34" charset="0"/>
            <a:buChar char="•"/>
          </a:pPr>
          <a:r>
            <a:rPr lang="en-US" b="1" i="0" u="none"/>
            <a:t>Apply for formal externship </a:t>
          </a:r>
          <a:r>
            <a:rPr lang="en-US" b="0" i="0" u="none"/>
            <a:t>-make a list of sites which you think are a "good fit", research site, talk to seniors, discuss with advisor</a:t>
          </a:r>
          <a:endParaRPr lang="en-US"/>
        </a:p>
      </dgm:t>
    </dgm:pt>
    <dgm:pt modelId="{76AC69B2-C30E-554A-AE13-7C3E19AD6CA5}" type="parTrans" cxnId="{8A8C5FF2-105C-CB47-8598-93E157CFFC37}">
      <dgm:prSet/>
      <dgm:spPr/>
      <dgm:t>
        <a:bodyPr/>
        <a:lstStyle/>
        <a:p>
          <a:endParaRPr lang="en-US"/>
        </a:p>
      </dgm:t>
    </dgm:pt>
    <dgm:pt modelId="{E41477A0-BD21-254C-8B1E-6A811BFF3F32}" type="sibTrans" cxnId="{8A8C5FF2-105C-CB47-8598-93E157CFFC37}">
      <dgm:prSet/>
      <dgm:spPr/>
      <dgm:t>
        <a:bodyPr/>
        <a:lstStyle/>
        <a:p>
          <a:endParaRPr lang="en-US"/>
        </a:p>
      </dgm:t>
    </dgm:pt>
    <dgm:pt modelId="{25F4CECD-741F-F34A-B799-5E72D02281C5}">
      <dgm:prSet/>
      <dgm:spPr/>
      <dgm:t>
        <a:bodyPr/>
        <a:lstStyle/>
        <a:p>
          <a:pPr>
            <a:buFont typeface="Arial" panose="020B0604020202020204" pitchFamily="34" charset="0"/>
            <a:buChar char="•"/>
          </a:pPr>
          <a:r>
            <a:rPr lang="en-US" b="1" i="0" u="none"/>
            <a:t>Present at case conference</a:t>
          </a:r>
        </a:p>
      </dgm:t>
    </dgm:pt>
    <dgm:pt modelId="{3CEC410F-6553-7A49-9142-82F1C4D0933D}" type="parTrans" cxnId="{9B50487D-ABFC-E441-83E0-A67AB168410E}">
      <dgm:prSet/>
      <dgm:spPr/>
      <dgm:t>
        <a:bodyPr/>
        <a:lstStyle/>
        <a:p>
          <a:endParaRPr lang="en-US"/>
        </a:p>
      </dgm:t>
    </dgm:pt>
    <dgm:pt modelId="{BB258519-00D6-3F43-9707-E8286035A13E}" type="sibTrans" cxnId="{9B50487D-ABFC-E441-83E0-A67AB168410E}">
      <dgm:prSet/>
      <dgm:spPr/>
      <dgm:t>
        <a:bodyPr/>
        <a:lstStyle/>
        <a:p>
          <a:endParaRPr lang="en-US"/>
        </a:p>
      </dgm:t>
    </dgm:pt>
    <dgm:pt modelId="{ED3464C5-FFC3-3E47-B30E-3A83C37AAC43}">
      <dgm:prSet/>
      <dgm:spPr/>
      <dgm:t>
        <a:bodyPr/>
        <a:lstStyle/>
        <a:p>
          <a:pPr>
            <a:buFont typeface="Arial" panose="020B0604020202020204" pitchFamily="34" charset="0"/>
            <a:buChar char="•"/>
          </a:pPr>
          <a:r>
            <a:rPr lang="en-US" b="1" i="0" u="none"/>
            <a:t>CERT Research Presentaton of 2nd year project</a:t>
          </a:r>
        </a:p>
      </dgm:t>
    </dgm:pt>
    <dgm:pt modelId="{55F58A91-CA29-BC45-A95C-3F83FF349C98}" type="parTrans" cxnId="{3D02A4B3-DA94-5244-A51E-846EA57F9F3E}">
      <dgm:prSet/>
      <dgm:spPr/>
      <dgm:t>
        <a:bodyPr/>
        <a:lstStyle/>
        <a:p>
          <a:endParaRPr lang="en-US"/>
        </a:p>
      </dgm:t>
    </dgm:pt>
    <dgm:pt modelId="{1CF67D7E-0192-6F48-8FFA-98B1C250DD28}" type="sibTrans" cxnId="{3D02A4B3-DA94-5244-A51E-846EA57F9F3E}">
      <dgm:prSet/>
      <dgm:spPr/>
      <dgm:t>
        <a:bodyPr/>
        <a:lstStyle/>
        <a:p>
          <a:endParaRPr lang="en-US"/>
        </a:p>
      </dgm:t>
    </dgm:pt>
    <dgm:pt modelId="{55CC789B-196E-1B4E-B7CC-9E4123E54E20}">
      <dgm:prSet/>
      <dgm:spPr/>
      <dgm:t>
        <a:bodyPr/>
        <a:lstStyle/>
        <a:p>
          <a:pPr>
            <a:buFont typeface="Arial" panose="020B0604020202020204" pitchFamily="34" charset="0"/>
            <a:buChar char="•"/>
          </a:pPr>
          <a:r>
            <a:rPr lang="en-US" b="1" i="0" u="none"/>
            <a:t>File for MS degree</a:t>
          </a:r>
        </a:p>
      </dgm:t>
    </dgm:pt>
    <dgm:pt modelId="{14D77F2D-7622-D043-89E9-15B06BA7F496}" type="parTrans" cxnId="{80C211D7-54F5-614C-B281-602827904BF8}">
      <dgm:prSet/>
      <dgm:spPr/>
      <dgm:t>
        <a:bodyPr/>
        <a:lstStyle/>
        <a:p>
          <a:endParaRPr lang="en-US"/>
        </a:p>
      </dgm:t>
    </dgm:pt>
    <dgm:pt modelId="{40E97342-FC1B-9F4C-BB3E-093AAF06C9BF}" type="sibTrans" cxnId="{80C211D7-54F5-614C-B281-602827904BF8}">
      <dgm:prSet/>
      <dgm:spPr/>
      <dgm:t>
        <a:bodyPr/>
        <a:lstStyle/>
        <a:p>
          <a:endParaRPr lang="en-US"/>
        </a:p>
      </dgm:t>
    </dgm:pt>
    <dgm:pt modelId="{A7016B5E-CBAA-4241-B9D6-CE46106AC45F}">
      <dgm:prSet/>
      <dgm:spPr/>
      <dgm:t>
        <a:bodyPr/>
        <a:lstStyle/>
        <a:p>
          <a:pPr>
            <a:buFont typeface="Arial" panose="020B0604020202020204" pitchFamily="34" charset="0"/>
            <a:buChar char="•"/>
          </a:pPr>
          <a:r>
            <a:rPr lang="en-US" b="1" i="0" u="none"/>
            <a:t>Start work on dissertation </a:t>
          </a:r>
          <a:r>
            <a:rPr lang="en-US" b="0" i="0" u="none"/>
            <a:t>-Some students further develop their second year project into their dissertation. This can some time and expand on research you already have</a:t>
          </a:r>
          <a:endParaRPr lang="en-US" b="1" i="0" u="none"/>
        </a:p>
      </dgm:t>
    </dgm:pt>
    <dgm:pt modelId="{73E6332D-D02F-5F4C-9D5E-9A0DAF373948}" type="parTrans" cxnId="{A4432BFC-9244-B349-9E96-F758EB62389E}">
      <dgm:prSet/>
      <dgm:spPr/>
      <dgm:t>
        <a:bodyPr/>
        <a:lstStyle/>
        <a:p>
          <a:endParaRPr lang="en-US"/>
        </a:p>
      </dgm:t>
    </dgm:pt>
    <dgm:pt modelId="{C2088D05-8D8C-C344-BE1A-091A0543E54C}" type="sibTrans" cxnId="{A4432BFC-9244-B349-9E96-F758EB62389E}">
      <dgm:prSet/>
      <dgm:spPr/>
      <dgm:t>
        <a:bodyPr/>
        <a:lstStyle/>
        <a:p>
          <a:endParaRPr lang="en-US"/>
        </a:p>
      </dgm:t>
    </dgm:pt>
    <dgm:pt modelId="{C4B9D73D-9D85-0843-A691-6610471A40A5}" type="pres">
      <dgm:prSet presAssocID="{B8E4F39D-AA5E-8142-9B91-ED23A36EA54E}" presName="Name0" presStyleCnt="0">
        <dgm:presLayoutVars>
          <dgm:dir/>
          <dgm:animLvl val="lvl"/>
          <dgm:resizeHandles/>
        </dgm:presLayoutVars>
      </dgm:prSet>
      <dgm:spPr/>
    </dgm:pt>
    <dgm:pt modelId="{31AA1315-9476-8244-BA87-D7DFC30BC140}" type="pres">
      <dgm:prSet presAssocID="{C0DDB705-7122-7845-809F-60F8F3D34B84}" presName="linNode" presStyleCnt="0"/>
      <dgm:spPr/>
    </dgm:pt>
    <dgm:pt modelId="{B8C02D98-E676-1842-8F0E-8056D55E3459}" type="pres">
      <dgm:prSet presAssocID="{C0DDB705-7122-7845-809F-60F8F3D34B84}" presName="parentShp" presStyleLbl="node1" presStyleIdx="0" presStyleCnt="2">
        <dgm:presLayoutVars>
          <dgm:bulletEnabled val="1"/>
        </dgm:presLayoutVars>
      </dgm:prSet>
      <dgm:spPr/>
    </dgm:pt>
    <dgm:pt modelId="{40903102-2FFE-6B4B-9DFF-6E103F0C3D2F}" type="pres">
      <dgm:prSet presAssocID="{C0DDB705-7122-7845-809F-60F8F3D34B84}" presName="childShp" presStyleLbl="bgAccFollowNode1" presStyleIdx="0" presStyleCnt="2">
        <dgm:presLayoutVars>
          <dgm:bulletEnabled val="1"/>
        </dgm:presLayoutVars>
      </dgm:prSet>
      <dgm:spPr/>
    </dgm:pt>
    <dgm:pt modelId="{3BABC9E3-74E7-BD41-B69D-0E9155882AD8}" type="pres">
      <dgm:prSet presAssocID="{1F1235B1-5FF8-7846-B26A-1BF176634192}" presName="spacing" presStyleCnt="0"/>
      <dgm:spPr/>
    </dgm:pt>
    <dgm:pt modelId="{705B8CD6-11FB-2343-A9FB-5C30B10CFB07}" type="pres">
      <dgm:prSet presAssocID="{E96DF119-93EC-5246-AE92-06F4671E7F0B}" presName="linNode" presStyleCnt="0"/>
      <dgm:spPr/>
    </dgm:pt>
    <dgm:pt modelId="{B0D1DB62-295C-0948-84D6-6A17B454E011}" type="pres">
      <dgm:prSet presAssocID="{E96DF119-93EC-5246-AE92-06F4671E7F0B}" presName="parentShp" presStyleLbl="node1" presStyleIdx="1" presStyleCnt="2">
        <dgm:presLayoutVars>
          <dgm:bulletEnabled val="1"/>
        </dgm:presLayoutVars>
      </dgm:prSet>
      <dgm:spPr/>
    </dgm:pt>
    <dgm:pt modelId="{91027A15-9D1B-DA46-B4A8-55FDFFB34B9A}" type="pres">
      <dgm:prSet presAssocID="{E96DF119-93EC-5246-AE92-06F4671E7F0B}" presName="childShp" presStyleLbl="bgAccFollowNode1" presStyleIdx="1" presStyleCnt="2">
        <dgm:presLayoutVars>
          <dgm:bulletEnabled val="1"/>
        </dgm:presLayoutVars>
      </dgm:prSet>
      <dgm:spPr/>
    </dgm:pt>
  </dgm:ptLst>
  <dgm:cxnLst>
    <dgm:cxn modelId="{CEACA33B-A116-7846-AF98-C716F640ED7F}" type="presOf" srcId="{E96DF119-93EC-5246-AE92-06F4671E7F0B}" destId="{B0D1DB62-295C-0948-84D6-6A17B454E011}" srcOrd="0" destOrd="0" presId="urn:microsoft.com/office/officeart/2005/8/layout/vList6"/>
    <dgm:cxn modelId="{B6BFA46A-BA88-964D-8CFD-84D21F134273}" type="presOf" srcId="{55CC789B-196E-1B4E-B7CC-9E4123E54E20}" destId="{40903102-2FFE-6B4B-9DFF-6E103F0C3D2F}" srcOrd="0" destOrd="3" presId="urn:microsoft.com/office/officeart/2005/8/layout/vList6"/>
    <dgm:cxn modelId="{9D522551-7F05-3244-83E5-1EAA2C750F5F}" srcId="{C0DDB705-7122-7845-809F-60F8F3D34B84}" destId="{CA965A80-9F5E-3849-A39F-78FA3B6069C0}" srcOrd="0" destOrd="0" parTransId="{E4E5778C-49D9-4C40-ACDC-DC22B98B4A6C}" sibTransId="{1ABF0F1A-7AE0-6140-86C7-6EF3F21BC0A2}"/>
    <dgm:cxn modelId="{75E07575-6299-C54A-AF73-D55394ACDA4F}" type="presOf" srcId="{C0DDB705-7122-7845-809F-60F8F3D34B84}" destId="{B8C02D98-E676-1842-8F0E-8056D55E3459}" srcOrd="0" destOrd="0" presId="urn:microsoft.com/office/officeart/2005/8/layout/vList6"/>
    <dgm:cxn modelId="{C13BD857-35E5-9B4A-954C-1AFAF755A067}" type="presOf" srcId="{A7016B5E-CBAA-4241-B9D6-CE46106AC45F}" destId="{91027A15-9D1B-DA46-B4A8-55FDFFB34B9A}" srcOrd="0" destOrd="1" presId="urn:microsoft.com/office/officeart/2005/8/layout/vList6"/>
    <dgm:cxn modelId="{AECDFE57-A77F-4144-B1B9-8AB4D85B73C9}" type="presOf" srcId="{B8E4F39D-AA5E-8142-9B91-ED23A36EA54E}" destId="{C4B9D73D-9D85-0843-A691-6610471A40A5}" srcOrd="0" destOrd="0" presId="urn:microsoft.com/office/officeart/2005/8/layout/vList6"/>
    <dgm:cxn modelId="{9B50487D-ABFC-E441-83E0-A67AB168410E}" srcId="{C0DDB705-7122-7845-809F-60F8F3D34B84}" destId="{25F4CECD-741F-F34A-B799-5E72D02281C5}" srcOrd="1" destOrd="0" parTransId="{3CEC410F-6553-7A49-9142-82F1C4D0933D}" sibTransId="{BB258519-00D6-3F43-9707-E8286035A13E}"/>
    <dgm:cxn modelId="{84451D86-7F09-E44C-8169-6A1D907CBDC5}" type="presOf" srcId="{25F4CECD-741F-F34A-B799-5E72D02281C5}" destId="{40903102-2FFE-6B4B-9DFF-6E103F0C3D2F}" srcOrd="0" destOrd="1" presId="urn:microsoft.com/office/officeart/2005/8/layout/vList6"/>
    <dgm:cxn modelId="{769E508F-5AE5-F146-8C05-8E14F5327127}" srcId="{B8E4F39D-AA5E-8142-9B91-ED23A36EA54E}" destId="{C0DDB705-7122-7845-809F-60F8F3D34B84}" srcOrd="0" destOrd="0" parTransId="{03312F68-B4E8-1E44-A19C-46F6A6C1C134}" sibTransId="{1F1235B1-5FF8-7846-B26A-1BF176634192}"/>
    <dgm:cxn modelId="{7C4A299F-E6FE-FD4D-BD05-8B9BD36CA42F}" type="presOf" srcId="{2FF9B0CB-F53A-004E-A9EB-54B716DB3E24}" destId="{91027A15-9D1B-DA46-B4A8-55FDFFB34B9A}" srcOrd="0" destOrd="0" presId="urn:microsoft.com/office/officeart/2005/8/layout/vList6"/>
    <dgm:cxn modelId="{BA6B2AAB-48D8-4B42-8B8F-689512A50D92}" type="presOf" srcId="{CA965A80-9F5E-3849-A39F-78FA3B6069C0}" destId="{40903102-2FFE-6B4B-9DFF-6E103F0C3D2F}" srcOrd="0" destOrd="0" presId="urn:microsoft.com/office/officeart/2005/8/layout/vList6"/>
    <dgm:cxn modelId="{E7DB39AB-E1E8-4243-82F5-C3E39274DD68}" srcId="{B8E4F39D-AA5E-8142-9B91-ED23A36EA54E}" destId="{E96DF119-93EC-5246-AE92-06F4671E7F0B}" srcOrd="1" destOrd="0" parTransId="{95C7D8A4-13B5-1342-9C2A-2CC923B5FCB9}" sibTransId="{E5452039-EE14-ED46-AE8B-3502110999D5}"/>
    <dgm:cxn modelId="{0CB57EAF-3228-AE45-8518-04C68520D4B0}" type="presOf" srcId="{ED3464C5-FFC3-3E47-B30E-3A83C37AAC43}" destId="{40903102-2FFE-6B4B-9DFF-6E103F0C3D2F}" srcOrd="0" destOrd="2" presId="urn:microsoft.com/office/officeart/2005/8/layout/vList6"/>
    <dgm:cxn modelId="{3D02A4B3-DA94-5244-A51E-846EA57F9F3E}" srcId="{C0DDB705-7122-7845-809F-60F8F3D34B84}" destId="{ED3464C5-FFC3-3E47-B30E-3A83C37AAC43}" srcOrd="2" destOrd="0" parTransId="{55F58A91-CA29-BC45-A95C-3F83FF349C98}" sibTransId="{1CF67D7E-0192-6F48-8FFA-98B1C250DD28}"/>
    <dgm:cxn modelId="{80C211D7-54F5-614C-B281-602827904BF8}" srcId="{C0DDB705-7122-7845-809F-60F8F3D34B84}" destId="{55CC789B-196E-1B4E-B7CC-9E4123E54E20}" srcOrd="3" destOrd="0" parTransId="{14D77F2D-7622-D043-89E9-15B06BA7F496}" sibTransId="{40E97342-FC1B-9F4C-BB3E-093AAF06C9BF}"/>
    <dgm:cxn modelId="{8A8C5FF2-105C-CB47-8598-93E157CFFC37}" srcId="{E96DF119-93EC-5246-AE92-06F4671E7F0B}" destId="{2FF9B0CB-F53A-004E-A9EB-54B716DB3E24}" srcOrd="0" destOrd="0" parTransId="{76AC69B2-C30E-554A-AE13-7C3E19AD6CA5}" sibTransId="{E41477A0-BD21-254C-8B1E-6A811BFF3F32}"/>
    <dgm:cxn modelId="{A4432BFC-9244-B349-9E96-F758EB62389E}" srcId="{E96DF119-93EC-5246-AE92-06F4671E7F0B}" destId="{A7016B5E-CBAA-4241-B9D6-CE46106AC45F}" srcOrd="1" destOrd="0" parTransId="{73E6332D-D02F-5F4C-9D5E-9A0DAF373948}" sibTransId="{C2088D05-8D8C-C344-BE1A-091A0543E54C}"/>
    <dgm:cxn modelId="{EA97464C-1879-CF41-A8FC-941076DA57E1}" type="presParOf" srcId="{C4B9D73D-9D85-0843-A691-6610471A40A5}" destId="{31AA1315-9476-8244-BA87-D7DFC30BC140}" srcOrd="0" destOrd="0" presId="urn:microsoft.com/office/officeart/2005/8/layout/vList6"/>
    <dgm:cxn modelId="{1A824432-2E67-294B-848F-9FD2119CB671}" type="presParOf" srcId="{31AA1315-9476-8244-BA87-D7DFC30BC140}" destId="{B8C02D98-E676-1842-8F0E-8056D55E3459}" srcOrd="0" destOrd="0" presId="urn:microsoft.com/office/officeart/2005/8/layout/vList6"/>
    <dgm:cxn modelId="{18ED0900-DC67-8546-8EEC-DD7A902E7830}" type="presParOf" srcId="{31AA1315-9476-8244-BA87-D7DFC30BC140}" destId="{40903102-2FFE-6B4B-9DFF-6E103F0C3D2F}" srcOrd="1" destOrd="0" presId="urn:microsoft.com/office/officeart/2005/8/layout/vList6"/>
    <dgm:cxn modelId="{98851EDD-1BA9-E740-A0D0-91FD601D16E9}" type="presParOf" srcId="{C4B9D73D-9D85-0843-A691-6610471A40A5}" destId="{3BABC9E3-74E7-BD41-B69D-0E9155882AD8}" srcOrd="1" destOrd="0" presId="urn:microsoft.com/office/officeart/2005/8/layout/vList6"/>
    <dgm:cxn modelId="{E85DCA6D-1317-1547-82B7-BA6AC1CBA1D7}" type="presParOf" srcId="{C4B9D73D-9D85-0843-A691-6610471A40A5}" destId="{705B8CD6-11FB-2343-A9FB-5C30B10CFB07}" srcOrd="2" destOrd="0" presId="urn:microsoft.com/office/officeart/2005/8/layout/vList6"/>
    <dgm:cxn modelId="{205990AE-CB94-994E-AF76-2F81708D18FD}" type="presParOf" srcId="{705B8CD6-11FB-2343-A9FB-5C30B10CFB07}" destId="{B0D1DB62-295C-0948-84D6-6A17B454E011}" srcOrd="0" destOrd="0" presId="urn:microsoft.com/office/officeart/2005/8/layout/vList6"/>
    <dgm:cxn modelId="{99E693DB-AA14-2E4E-8FB8-657E2A922CAE}" type="presParOf" srcId="{705B8CD6-11FB-2343-A9FB-5C30B10CFB07}" destId="{91027A15-9D1B-DA46-B4A8-55FDFFB34B9A}" srcOrd="1" destOrd="0" presId="urn:microsoft.com/office/officeart/2005/8/layout/vList6"/>
  </dgm:cxnLst>
  <dgm:bg/>
  <dgm:whole/>
  <dgm:extLst>
    <a:ext uri="http://schemas.microsoft.com/office/drawing/2008/diagram">
      <dsp:dataModelExt xmlns:dsp="http://schemas.microsoft.com/office/drawing/2008/diagram" relId="rId30"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3B10E227-E1B6-A54C-A92C-C85EF31714C7}" type="doc">
      <dgm:prSet loTypeId="urn:microsoft.com/office/officeart/2005/8/layout/vList6" loCatId="" qsTypeId="urn:microsoft.com/office/officeart/2005/8/quickstyle/simple1" qsCatId="simple" csTypeId="urn:microsoft.com/office/officeart/2005/8/colors/accent1_2" csCatId="accent1" phldr="1"/>
      <dgm:spPr/>
      <dgm:t>
        <a:bodyPr/>
        <a:lstStyle/>
        <a:p>
          <a:endParaRPr lang="en-US"/>
        </a:p>
      </dgm:t>
    </dgm:pt>
    <dgm:pt modelId="{7FD64AA9-C235-4F40-9A07-26976BB9EFF9}">
      <dgm:prSet phldrT="[Text]"/>
      <dgm:spPr/>
      <dgm:t>
        <a:bodyPr/>
        <a:lstStyle/>
        <a:p>
          <a:r>
            <a:rPr lang="en-US"/>
            <a:t>4th year</a:t>
          </a:r>
        </a:p>
      </dgm:t>
    </dgm:pt>
    <dgm:pt modelId="{E7A3ABB3-2B57-5A4A-B5DB-53F01DBAB7E9}" type="parTrans" cxnId="{F24957D6-BFF2-C240-80EA-DF5FE3CDF4D4}">
      <dgm:prSet/>
      <dgm:spPr/>
      <dgm:t>
        <a:bodyPr/>
        <a:lstStyle/>
        <a:p>
          <a:endParaRPr lang="en-US"/>
        </a:p>
      </dgm:t>
    </dgm:pt>
    <dgm:pt modelId="{3707DF2E-F9EE-C442-9C2C-5CF356F761DC}" type="sibTrans" cxnId="{F24957D6-BFF2-C240-80EA-DF5FE3CDF4D4}">
      <dgm:prSet/>
      <dgm:spPr/>
      <dgm:t>
        <a:bodyPr/>
        <a:lstStyle/>
        <a:p>
          <a:endParaRPr lang="en-US"/>
        </a:p>
      </dgm:t>
    </dgm:pt>
    <dgm:pt modelId="{B7F77E9A-B325-C947-8EEC-8E4DC38E0230}">
      <dgm:prSet phldrT="[Text]"/>
      <dgm:spPr/>
      <dgm:t>
        <a:bodyPr/>
        <a:lstStyle/>
        <a:p>
          <a:pPr>
            <a:buFont typeface="Arial" panose="020B0604020202020204" pitchFamily="34" charset="0"/>
            <a:buChar char="•"/>
          </a:pPr>
          <a:r>
            <a:rPr lang="en-US" b="1" i="0" u="none"/>
            <a:t>File for MPhil degree</a:t>
          </a:r>
          <a:endParaRPr lang="en-US"/>
        </a:p>
      </dgm:t>
    </dgm:pt>
    <dgm:pt modelId="{FB40BE86-0E43-D84B-BD23-C4BC7AABFEA2}" type="parTrans" cxnId="{7C65F922-7941-1241-BF64-1086EECB16F1}">
      <dgm:prSet/>
      <dgm:spPr/>
      <dgm:t>
        <a:bodyPr/>
        <a:lstStyle/>
        <a:p>
          <a:endParaRPr lang="en-US"/>
        </a:p>
      </dgm:t>
    </dgm:pt>
    <dgm:pt modelId="{6195D46A-0B18-A141-9179-FB29ADEF510A}" type="sibTrans" cxnId="{7C65F922-7941-1241-BF64-1086EECB16F1}">
      <dgm:prSet/>
      <dgm:spPr/>
      <dgm:t>
        <a:bodyPr/>
        <a:lstStyle/>
        <a:p>
          <a:endParaRPr lang="en-US"/>
        </a:p>
      </dgm:t>
    </dgm:pt>
    <dgm:pt modelId="{CDFE9199-FF93-9643-AF13-9FDA4762BC41}">
      <dgm:prSet phldrT="[Text]"/>
      <dgm:spPr/>
      <dgm:t>
        <a:bodyPr/>
        <a:lstStyle/>
        <a:p>
          <a:r>
            <a:rPr lang="en-US"/>
            <a:t>4th/5th year</a:t>
          </a:r>
        </a:p>
      </dgm:t>
    </dgm:pt>
    <dgm:pt modelId="{70A5314D-8E31-5041-A90A-6AB0D160C3D0}" type="parTrans" cxnId="{48BEF2AB-D414-B44D-B2EE-F8FF24B06A3C}">
      <dgm:prSet/>
      <dgm:spPr/>
      <dgm:t>
        <a:bodyPr/>
        <a:lstStyle/>
        <a:p>
          <a:endParaRPr lang="en-US"/>
        </a:p>
      </dgm:t>
    </dgm:pt>
    <dgm:pt modelId="{D2E1DA2D-01A6-D844-BF4A-A0D7227242FB}" type="sibTrans" cxnId="{48BEF2AB-D414-B44D-B2EE-F8FF24B06A3C}">
      <dgm:prSet/>
      <dgm:spPr/>
      <dgm:t>
        <a:bodyPr/>
        <a:lstStyle/>
        <a:p>
          <a:endParaRPr lang="en-US"/>
        </a:p>
      </dgm:t>
    </dgm:pt>
    <dgm:pt modelId="{8D59465B-8B0B-244A-92F1-FD43E3E207FA}">
      <dgm:prSet phldrT="[Text]"/>
      <dgm:spPr/>
      <dgm:t>
        <a:bodyPr/>
        <a:lstStyle/>
        <a:p>
          <a:pPr>
            <a:buFont typeface="Arial" panose="020B0604020202020204" pitchFamily="34" charset="0"/>
            <a:buChar char="•"/>
          </a:pPr>
          <a:r>
            <a:rPr lang="en-US" b="1" i="0" u="none"/>
            <a:t>Apply for internship</a:t>
          </a:r>
          <a:endParaRPr lang="en-US"/>
        </a:p>
      </dgm:t>
    </dgm:pt>
    <dgm:pt modelId="{5F823486-291E-4844-B584-01551175F269}" type="parTrans" cxnId="{0EA25023-AD34-A64C-A886-9094E8AF68B5}">
      <dgm:prSet/>
      <dgm:spPr/>
      <dgm:t>
        <a:bodyPr/>
        <a:lstStyle/>
        <a:p>
          <a:endParaRPr lang="en-US"/>
        </a:p>
      </dgm:t>
    </dgm:pt>
    <dgm:pt modelId="{28EBE65B-6C9C-894F-AFF8-BE90AC991454}" type="sibTrans" cxnId="{0EA25023-AD34-A64C-A886-9094E8AF68B5}">
      <dgm:prSet/>
      <dgm:spPr/>
      <dgm:t>
        <a:bodyPr/>
        <a:lstStyle/>
        <a:p>
          <a:endParaRPr lang="en-US"/>
        </a:p>
      </dgm:t>
    </dgm:pt>
    <dgm:pt modelId="{93125638-A2AC-F943-A1DF-010C99EDAC3F}">
      <dgm:prSet/>
      <dgm:spPr/>
      <dgm:t>
        <a:bodyPr/>
        <a:lstStyle/>
        <a:p>
          <a:r>
            <a:rPr lang="en-US" b="1" i="0" u="none"/>
            <a:t>Hold dissertation proposal </a:t>
          </a:r>
          <a:r>
            <a:rPr lang="en-US" b="0" i="0" u="none"/>
            <a:t>-scheduling your committe is harder than expected, start early and request availability one month in advance</a:t>
          </a:r>
          <a:endParaRPr lang="en-US"/>
        </a:p>
      </dgm:t>
    </dgm:pt>
    <dgm:pt modelId="{3840E46A-BDF3-5248-ACCE-17F5DF616EA6}" type="parTrans" cxnId="{B5F92434-0C98-E04E-BEC7-4291969047FD}">
      <dgm:prSet/>
      <dgm:spPr/>
      <dgm:t>
        <a:bodyPr/>
        <a:lstStyle/>
        <a:p>
          <a:endParaRPr lang="en-US"/>
        </a:p>
      </dgm:t>
    </dgm:pt>
    <dgm:pt modelId="{69FFC901-F767-6B46-95A6-221570ADA027}" type="sibTrans" cxnId="{B5F92434-0C98-E04E-BEC7-4291969047FD}">
      <dgm:prSet/>
      <dgm:spPr/>
      <dgm:t>
        <a:bodyPr/>
        <a:lstStyle/>
        <a:p>
          <a:endParaRPr lang="en-US"/>
        </a:p>
      </dgm:t>
    </dgm:pt>
    <dgm:pt modelId="{562118A5-7ABE-7C4A-9E29-4C105F5B3C50}">
      <dgm:prSet/>
      <dgm:spPr/>
      <dgm:t>
        <a:bodyPr/>
        <a:lstStyle/>
        <a:p>
          <a:pPr>
            <a:buFont typeface="Arial" panose="020B0604020202020204" pitchFamily="34" charset="0"/>
            <a:buChar char="•"/>
          </a:pPr>
          <a:r>
            <a:rPr lang="en-US" b="0" i="0" u="none"/>
            <a:t>start your research on site in the summer,reach out to current interns and recent alumni and discuss experiences, the culture and environment at sites changes quickly, make a list of "good fits". Most importantly attend the info session hosted by Dr. Cha, and go through internship resource folder. </a:t>
          </a:r>
        </a:p>
      </dgm:t>
    </dgm:pt>
    <dgm:pt modelId="{7E492BE6-CD1D-D745-8912-2BF92C32D404}" type="parTrans" cxnId="{AFFD5C37-69E5-D44B-8277-1781685EBD2A}">
      <dgm:prSet/>
      <dgm:spPr/>
      <dgm:t>
        <a:bodyPr/>
        <a:lstStyle/>
        <a:p>
          <a:endParaRPr lang="en-US"/>
        </a:p>
      </dgm:t>
    </dgm:pt>
    <dgm:pt modelId="{FD454531-1678-184A-A401-1A40449E9A2B}" type="sibTrans" cxnId="{AFFD5C37-69E5-D44B-8277-1781685EBD2A}">
      <dgm:prSet/>
      <dgm:spPr/>
      <dgm:t>
        <a:bodyPr/>
        <a:lstStyle/>
        <a:p>
          <a:endParaRPr lang="en-US"/>
        </a:p>
      </dgm:t>
    </dgm:pt>
    <dgm:pt modelId="{E118A6B3-DB3D-5940-9657-E437A6212305}">
      <dgm:prSet/>
      <dgm:spPr/>
      <dgm:t>
        <a:bodyPr/>
        <a:lstStyle/>
        <a:p>
          <a:pPr>
            <a:buFont typeface="Arial" panose="020B0604020202020204" pitchFamily="34" charset="0"/>
            <a:buChar char="•"/>
          </a:pPr>
          <a:r>
            <a:rPr lang="en-US" b="1" i="0" u="none"/>
            <a:t>Hold Advanced Seminar/Data Hearing </a:t>
          </a:r>
          <a:r>
            <a:rPr lang="en-US" b="0" i="0" u="none"/>
            <a:t>Optional for 3 paper diss format</a:t>
          </a:r>
          <a:endParaRPr lang="en-US" b="1" i="0" u="none"/>
        </a:p>
      </dgm:t>
    </dgm:pt>
    <dgm:pt modelId="{22461949-A5BE-DC45-9757-17F512268446}" type="parTrans" cxnId="{9EEF23FE-1380-C342-8541-553F7E4831AC}">
      <dgm:prSet/>
      <dgm:spPr/>
      <dgm:t>
        <a:bodyPr/>
        <a:lstStyle/>
        <a:p>
          <a:endParaRPr lang="en-US"/>
        </a:p>
      </dgm:t>
    </dgm:pt>
    <dgm:pt modelId="{88E6A4BD-7477-0F4A-BBA0-C906CE6899B4}" type="sibTrans" cxnId="{9EEF23FE-1380-C342-8541-553F7E4831AC}">
      <dgm:prSet/>
      <dgm:spPr/>
      <dgm:t>
        <a:bodyPr/>
        <a:lstStyle/>
        <a:p>
          <a:endParaRPr lang="en-US"/>
        </a:p>
      </dgm:t>
    </dgm:pt>
    <dgm:pt modelId="{35BBACAC-4955-984E-9990-973E229B062F}">
      <dgm:prSet/>
      <dgm:spPr/>
      <dgm:t>
        <a:bodyPr/>
        <a:lstStyle/>
        <a:p>
          <a:pPr>
            <a:buFont typeface="Arial" panose="020B0604020202020204" pitchFamily="34" charset="0"/>
            <a:buChar char="•"/>
          </a:pPr>
          <a:r>
            <a:rPr lang="en-US" b="1" i="0" u="none"/>
            <a:t>Hold Dissertation Defense </a:t>
          </a:r>
        </a:p>
      </dgm:t>
    </dgm:pt>
    <dgm:pt modelId="{59B125E5-D38F-8F40-B375-72AD294C8448}" type="parTrans" cxnId="{952FC4BA-7138-424E-9D1A-6DB0567A4A15}">
      <dgm:prSet/>
      <dgm:spPr/>
      <dgm:t>
        <a:bodyPr/>
        <a:lstStyle/>
        <a:p>
          <a:endParaRPr lang="en-US"/>
        </a:p>
      </dgm:t>
    </dgm:pt>
    <dgm:pt modelId="{F5B434B4-695C-1043-87CF-2C171B05C7F2}" type="sibTrans" cxnId="{952FC4BA-7138-424E-9D1A-6DB0567A4A15}">
      <dgm:prSet/>
      <dgm:spPr/>
      <dgm:t>
        <a:bodyPr/>
        <a:lstStyle/>
        <a:p>
          <a:endParaRPr lang="en-US"/>
        </a:p>
      </dgm:t>
    </dgm:pt>
    <dgm:pt modelId="{D733A217-8F89-244B-8C3B-0B0F50F84FF2}" type="pres">
      <dgm:prSet presAssocID="{3B10E227-E1B6-A54C-A92C-C85EF31714C7}" presName="Name0" presStyleCnt="0">
        <dgm:presLayoutVars>
          <dgm:dir/>
          <dgm:animLvl val="lvl"/>
          <dgm:resizeHandles/>
        </dgm:presLayoutVars>
      </dgm:prSet>
      <dgm:spPr/>
    </dgm:pt>
    <dgm:pt modelId="{20ACB105-495B-E543-9EE6-987E7A941562}" type="pres">
      <dgm:prSet presAssocID="{7FD64AA9-C235-4F40-9A07-26976BB9EFF9}" presName="linNode" presStyleCnt="0"/>
      <dgm:spPr/>
    </dgm:pt>
    <dgm:pt modelId="{6E307693-822F-7946-8519-94043AE63003}" type="pres">
      <dgm:prSet presAssocID="{7FD64AA9-C235-4F40-9A07-26976BB9EFF9}" presName="parentShp" presStyleLbl="node1" presStyleIdx="0" presStyleCnt="2">
        <dgm:presLayoutVars>
          <dgm:bulletEnabled val="1"/>
        </dgm:presLayoutVars>
      </dgm:prSet>
      <dgm:spPr/>
    </dgm:pt>
    <dgm:pt modelId="{08FE9448-1565-5F4D-972F-22A9EF4D88B8}" type="pres">
      <dgm:prSet presAssocID="{7FD64AA9-C235-4F40-9A07-26976BB9EFF9}" presName="childShp" presStyleLbl="bgAccFollowNode1" presStyleIdx="0" presStyleCnt="2">
        <dgm:presLayoutVars>
          <dgm:bulletEnabled val="1"/>
        </dgm:presLayoutVars>
      </dgm:prSet>
      <dgm:spPr/>
    </dgm:pt>
    <dgm:pt modelId="{BD730DE6-7683-7144-9051-04CF1FE2053E}" type="pres">
      <dgm:prSet presAssocID="{3707DF2E-F9EE-C442-9C2C-5CF356F761DC}" presName="spacing" presStyleCnt="0"/>
      <dgm:spPr/>
    </dgm:pt>
    <dgm:pt modelId="{059FB5E2-3DBA-FF48-B634-CF8B97A95C6B}" type="pres">
      <dgm:prSet presAssocID="{CDFE9199-FF93-9643-AF13-9FDA4762BC41}" presName="linNode" presStyleCnt="0"/>
      <dgm:spPr/>
    </dgm:pt>
    <dgm:pt modelId="{BDACE21C-F044-2F44-BF72-5C55ECB586A6}" type="pres">
      <dgm:prSet presAssocID="{CDFE9199-FF93-9643-AF13-9FDA4762BC41}" presName="parentShp" presStyleLbl="node1" presStyleIdx="1" presStyleCnt="2" custLinFactNeighborY="2666">
        <dgm:presLayoutVars>
          <dgm:bulletEnabled val="1"/>
        </dgm:presLayoutVars>
      </dgm:prSet>
      <dgm:spPr/>
    </dgm:pt>
    <dgm:pt modelId="{D703E3B1-F993-3F46-BCA2-0B889E1FA868}" type="pres">
      <dgm:prSet presAssocID="{CDFE9199-FF93-9643-AF13-9FDA4762BC41}" presName="childShp" presStyleLbl="bgAccFollowNode1" presStyleIdx="1" presStyleCnt="2">
        <dgm:presLayoutVars>
          <dgm:bulletEnabled val="1"/>
        </dgm:presLayoutVars>
      </dgm:prSet>
      <dgm:spPr/>
    </dgm:pt>
  </dgm:ptLst>
  <dgm:cxnLst>
    <dgm:cxn modelId="{5BC99209-AC17-6B4B-BEB2-302FB65AA901}" type="presOf" srcId="{8D59465B-8B0B-244A-92F1-FD43E3E207FA}" destId="{D703E3B1-F993-3F46-BCA2-0B889E1FA868}" srcOrd="0" destOrd="0" presId="urn:microsoft.com/office/officeart/2005/8/layout/vList6"/>
    <dgm:cxn modelId="{B404AE09-EAF3-334B-913A-5328992E4535}" type="presOf" srcId="{3B10E227-E1B6-A54C-A92C-C85EF31714C7}" destId="{D733A217-8F89-244B-8C3B-0B0F50F84FF2}" srcOrd="0" destOrd="0" presId="urn:microsoft.com/office/officeart/2005/8/layout/vList6"/>
    <dgm:cxn modelId="{7C65F922-7941-1241-BF64-1086EECB16F1}" srcId="{7FD64AA9-C235-4F40-9A07-26976BB9EFF9}" destId="{B7F77E9A-B325-C947-8EEC-8E4DC38E0230}" srcOrd="0" destOrd="0" parTransId="{FB40BE86-0E43-D84B-BD23-C4BC7AABFEA2}" sibTransId="{6195D46A-0B18-A141-9179-FB29ADEF510A}"/>
    <dgm:cxn modelId="{0EA25023-AD34-A64C-A886-9094E8AF68B5}" srcId="{CDFE9199-FF93-9643-AF13-9FDA4762BC41}" destId="{8D59465B-8B0B-244A-92F1-FD43E3E207FA}" srcOrd="0" destOrd="0" parTransId="{5F823486-291E-4844-B584-01551175F269}" sibTransId="{28EBE65B-6C9C-894F-AFF8-BE90AC991454}"/>
    <dgm:cxn modelId="{B5F92434-0C98-E04E-BEC7-4291969047FD}" srcId="{7FD64AA9-C235-4F40-9A07-26976BB9EFF9}" destId="{93125638-A2AC-F943-A1DF-010C99EDAC3F}" srcOrd="1" destOrd="0" parTransId="{3840E46A-BDF3-5248-ACCE-17F5DF616EA6}" sibTransId="{69FFC901-F767-6B46-95A6-221570ADA027}"/>
    <dgm:cxn modelId="{AFFD5C37-69E5-D44B-8277-1781685EBD2A}" srcId="{CDFE9199-FF93-9643-AF13-9FDA4762BC41}" destId="{562118A5-7ABE-7C4A-9E29-4C105F5B3C50}" srcOrd="1" destOrd="0" parTransId="{7E492BE6-CD1D-D745-8912-2BF92C32D404}" sibTransId="{FD454531-1678-184A-A401-1A40449E9A2B}"/>
    <dgm:cxn modelId="{4653DC5F-EA8D-FC40-A327-82F60499854C}" type="presOf" srcId="{E118A6B3-DB3D-5940-9657-E437A6212305}" destId="{D703E3B1-F993-3F46-BCA2-0B889E1FA868}" srcOrd="0" destOrd="2" presId="urn:microsoft.com/office/officeart/2005/8/layout/vList6"/>
    <dgm:cxn modelId="{917D9487-6620-414E-A2B7-4A03CB640B8B}" type="presOf" srcId="{B7F77E9A-B325-C947-8EEC-8E4DC38E0230}" destId="{08FE9448-1565-5F4D-972F-22A9EF4D88B8}" srcOrd="0" destOrd="0" presId="urn:microsoft.com/office/officeart/2005/8/layout/vList6"/>
    <dgm:cxn modelId="{EB10019B-ACB4-394F-9D53-3C8FE05621AE}" type="presOf" srcId="{7FD64AA9-C235-4F40-9A07-26976BB9EFF9}" destId="{6E307693-822F-7946-8519-94043AE63003}" srcOrd="0" destOrd="0" presId="urn:microsoft.com/office/officeart/2005/8/layout/vList6"/>
    <dgm:cxn modelId="{A8FF389B-8292-2144-8369-B578FAC724C4}" type="presOf" srcId="{93125638-A2AC-F943-A1DF-010C99EDAC3F}" destId="{08FE9448-1565-5F4D-972F-22A9EF4D88B8}" srcOrd="0" destOrd="1" presId="urn:microsoft.com/office/officeart/2005/8/layout/vList6"/>
    <dgm:cxn modelId="{48BEF2AB-D414-B44D-B2EE-F8FF24B06A3C}" srcId="{3B10E227-E1B6-A54C-A92C-C85EF31714C7}" destId="{CDFE9199-FF93-9643-AF13-9FDA4762BC41}" srcOrd="1" destOrd="0" parTransId="{70A5314D-8E31-5041-A90A-6AB0D160C3D0}" sibTransId="{D2E1DA2D-01A6-D844-BF4A-A0D7227242FB}"/>
    <dgm:cxn modelId="{970F2FAC-BD2B-BE4B-8C8F-12A1CC51F1B5}" type="presOf" srcId="{CDFE9199-FF93-9643-AF13-9FDA4762BC41}" destId="{BDACE21C-F044-2F44-BF72-5C55ECB586A6}" srcOrd="0" destOrd="0" presId="urn:microsoft.com/office/officeart/2005/8/layout/vList6"/>
    <dgm:cxn modelId="{4FE5C3AF-B70E-B54E-A16C-8736ACB030F5}" type="presOf" srcId="{35BBACAC-4955-984E-9990-973E229B062F}" destId="{D703E3B1-F993-3F46-BCA2-0B889E1FA868}" srcOrd="0" destOrd="3" presId="urn:microsoft.com/office/officeart/2005/8/layout/vList6"/>
    <dgm:cxn modelId="{C2A124B2-9913-CE4F-931F-E1D0A0E41D31}" type="presOf" srcId="{562118A5-7ABE-7C4A-9E29-4C105F5B3C50}" destId="{D703E3B1-F993-3F46-BCA2-0B889E1FA868}" srcOrd="0" destOrd="1" presId="urn:microsoft.com/office/officeart/2005/8/layout/vList6"/>
    <dgm:cxn modelId="{952FC4BA-7138-424E-9D1A-6DB0567A4A15}" srcId="{CDFE9199-FF93-9643-AF13-9FDA4762BC41}" destId="{35BBACAC-4955-984E-9990-973E229B062F}" srcOrd="3" destOrd="0" parTransId="{59B125E5-D38F-8F40-B375-72AD294C8448}" sibTransId="{F5B434B4-695C-1043-87CF-2C171B05C7F2}"/>
    <dgm:cxn modelId="{F24957D6-BFF2-C240-80EA-DF5FE3CDF4D4}" srcId="{3B10E227-E1B6-A54C-A92C-C85EF31714C7}" destId="{7FD64AA9-C235-4F40-9A07-26976BB9EFF9}" srcOrd="0" destOrd="0" parTransId="{E7A3ABB3-2B57-5A4A-B5DB-53F01DBAB7E9}" sibTransId="{3707DF2E-F9EE-C442-9C2C-5CF356F761DC}"/>
    <dgm:cxn modelId="{9EEF23FE-1380-C342-8541-553F7E4831AC}" srcId="{CDFE9199-FF93-9643-AF13-9FDA4762BC41}" destId="{E118A6B3-DB3D-5940-9657-E437A6212305}" srcOrd="2" destOrd="0" parTransId="{22461949-A5BE-DC45-9757-17F512268446}" sibTransId="{88E6A4BD-7477-0F4A-BBA0-C906CE6899B4}"/>
    <dgm:cxn modelId="{3D2ED772-669E-1646-A4F6-84ACB85E4560}" type="presParOf" srcId="{D733A217-8F89-244B-8C3B-0B0F50F84FF2}" destId="{20ACB105-495B-E543-9EE6-987E7A941562}" srcOrd="0" destOrd="0" presId="urn:microsoft.com/office/officeart/2005/8/layout/vList6"/>
    <dgm:cxn modelId="{85C2F93E-1298-034B-B97C-32F6B449DDAF}" type="presParOf" srcId="{20ACB105-495B-E543-9EE6-987E7A941562}" destId="{6E307693-822F-7946-8519-94043AE63003}" srcOrd="0" destOrd="0" presId="urn:microsoft.com/office/officeart/2005/8/layout/vList6"/>
    <dgm:cxn modelId="{CDB83569-C1F0-E942-B0EA-77E817634799}" type="presParOf" srcId="{20ACB105-495B-E543-9EE6-987E7A941562}" destId="{08FE9448-1565-5F4D-972F-22A9EF4D88B8}" srcOrd="1" destOrd="0" presId="urn:microsoft.com/office/officeart/2005/8/layout/vList6"/>
    <dgm:cxn modelId="{947DC9AD-9315-5144-84AE-115476DDF82E}" type="presParOf" srcId="{D733A217-8F89-244B-8C3B-0B0F50F84FF2}" destId="{BD730DE6-7683-7144-9051-04CF1FE2053E}" srcOrd="1" destOrd="0" presId="urn:microsoft.com/office/officeart/2005/8/layout/vList6"/>
    <dgm:cxn modelId="{9182CB62-84C0-C146-AFFE-4051A82672C5}" type="presParOf" srcId="{D733A217-8F89-244B-8C3B-0B0F50F84FF2}" destId="{059FB5E2-3DBA-FF48-B634-CF8B97A95C6B}" srcOrd="2" destOrd="0" presId="urn:microsoft.com/office/officeart/2005/8/layout/vList6"/>
    <dgm:cxn modelId="{E075B25B-BB32-754D-B9BC-568E70FF1A5E}" type="presParOf" srcId="{059FB5E2-3DBA-FF48-B634-CF8B97A95C6B}" destId="{BDACE21C-F044-2F44-BF72-5C55ECB586A6}" srcOrd="0" destOrd="0" presId="urn:microsoft.com/office/officeart/2005/8/layout/vList6"/>
    <dgm:cxn modelId="{766C48E4-E5DA-7D43-8654-EDB5E6A9913B}" type="presParOf" srcId="{059FB5E2-3DBA-FF48-B634-CF8B97A95C6B}" destId="{D703E3B1-F993-3F46-BCA2-0B889E1FA868}" srcOrd="1" destOrd="0" presId="urn:microsoft.com/office/officeart/2005/8/layout/vList6"/>
  </dgm:cxnLst>
  <dgm:bg/>
  <dgm:whole/>
  <dgm:extLst>
    <a:ext uri="http://schemas.microsoft.com/office/drawing/2008/diagram">
      <dsp:dataModelExt xmlns:dsp="http://schemas.microsoft.com/office/drawing/2008/diagram" relId="rId3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77402312-BD8C-D246-B24B-854536878442}">
      <dsp:nvSpPr>
        <dsp:cNvPr id="0" name=""/>
        <dsp:cNvSpPr/>
      </dsp:nvSpPr>
      <dsp:spPr>
        <a:xfrm>
          <a:off x="2194560" y="390"/>
          <a:ext cx="3291840" cy="1523627"/>
        </a:xfrm>
        <a:prstGeom prst="rightArrow">
          <a:avLst>
            <a:gd name="adj1" fmla="val 75000"/>
            <a:gd name="adj2" fmla="val 50000"/>
          </a:avLst>
        </a:prstGeom>
        <a:solidFill>
          <a:schemeClr val="accent1">
            <a:alpha val="90000"/>
            <a:tint val="40000"/>
            <a:hueOff val="0"/>
            <a:satOff val="0"/>
            <a:lumOff val="0"/>
            <a:alphaOff val="0"/>
          </a:schemeClr>
        </a:solidFill>
        <a:ln w="25400" cap="flat" cmpd="sng" algn="ctr">
          <a:solidFill>
            <a:schemeClr val="accent1">
              <a:alpha val="90000"/>
              <a:tint val="4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5715" tIns="5715" rIns="5715" bIns="5715" numCol="1" spcCol="1270" anchor="t" anchorCtr="0">
          <a:noAutofit/>
        </a:bodyPr>
        <a:lstStyle/>
        <a:p>
          <a:pPr marL="57150" lvl="1" indent="-57150" algn="l" defTabSz="400050">
            <a:lnSpc>
              <a:spcPct val="90000"/>
            </a:lnSpc>
            <a:spcBef>
              <a:spcPct val="0"/>
            </a:spcBef>
            <a:spcAft>
              <a:spcPct val="15000"/>
            </a:spcAft>
            <a:buFont typeface="Arial" panose="020B0604020202020204" pitchFamily="34" charset="0"/>
            <a:buChar char="•"/>
          </a:pPr>
          <a:r>
            <a:rPr lang="en-US" sz="900" b="1" i="0" u="none" kern="1200"/>
            <a:t>Confirm transferable credits</a:t>
          </a:r>
          <a:r>
            <a:rPr lang="en-US" sz="900" b="0" i="0" u="none" kern="1200"/>
            <a:t>:while you have up to the end of your 2nd year, the earlier you do this, the easier it is to create your academic plan as required by ODS. This step will also help you determine which required courses can be waived.</a:t>
          </a:r>
          <a:endParaRPr lang="en-US" sz="900" kern="1200"/>
        </a:p>
        <a:p>
          <a:pPr marL="57150" lvl="1" indent="-57150" algn="l" defTabSz="400050">
            <a:lnSpc>
              <a:spcPct val="90000"/>
            </a:lnSpc>
            <a:spcBef>
              <a:spcPct val="0"/>
            </a:spcBef>
            <a:spcAft>
              <a:spcPct val="15000"/>
            </a:spcAft>
            <a:buFont typeface="Arial" panose="020B0604020202020204" pitchFamily="34" charset="0"/>
            <a:buChar char="•"/>
          </a:pPr>
          <a:r>
            <a:rPr lang="en-US" sz="900" b="1" i="0" u="none" kern="1200"/>
            <a:t>Complete an intake report</a:t>
          </a:r>
        </a:p>
        <a:p>
          <a:pPr marL="57150" lvl="1" indent="-57150" algn="l" defTabSz="400050">
            <a:lnSpc>
              <a:spcPct val="90000"/>
            </a:lnSpc>
            <a:spcBef>
              <a:spcPct val="0"/>
            </a:spcBef>
            <a:spcAft>
              <a:spcPct val="15000"/>
            </a:spcAft>
            <a:buFont typeface="Arial" panose="020B0604020202020204" pitchFamily="34" charset="0"/>
            <a:buChar char="•"/>
          </a:pPr>
          <a:r>
            <a:rPr lang="en-US" sz="900" b="1" i="0" u="none" kern="1200"/>
            <a:t>Complete 2 testing reports</a:t>
          </a:r>
        </a:p>
      </dsp:txBody>
      <dsp:txXfrm>
        <a:off x="2194560" y="190843"/>
        <a:ext cx="2720480" cy="1142721"/>
      </dsp:txXfrm>
    </dsp:sp>
    <dsp:sp modelId="{D2656CE7-797B-9145-B019-BCF9A290D86E}">
      <dsp:nvSpPr>
        <dsp:cNvPr id="0" name=""/>
        <dsp:cNvSpPr/>
      </dsp:nvSpPr>
      <dsp:spPr>
        <a:xfrm>
          <a:off x="0" y="390"/>
          <a:ext cx="2194560" cy="1523627"/>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67640" tIns="83820" rIns="167640" bIns="83820" numCol="1" spcCol="1270" anchor="ctr" anchorCtr="0">
          <a:noAutofit/>
        </a:bodyPr>
        <a:lstStyle/>
        <a:p>
          <a:pPr marL="0" lvl="0" indent="0" algn="ctr" defTabSz="1955800">
            <a:lnSpc>
              <a:spcPct val="90000"/>
            </a:lnSpc>
            <a:spcBef>
              <a:spcPct val="0"/>
            </a:spcBef>
            <a:spcAft>
              <a:spcPct val="35000"/>
            </a:spcAft>
            <a:buNone/>
          </a:pPr>
          <a:r>
            <a:rPr lang="en-US" sz="4400" kern="1200"/>
            <a:t>1st year </a:t>
          </a:r>
        </a:p>
      </dsp:txBody>
      <dsp:txXfrm>
        <a:off x="74377" y="74767"/>
        <a:ext cx="2045806" cy="1374873"/>
      </dsp:txXfrm>
    </dsp:sp>
    <dsp:sp modelId="{15CC7ABD-D603-1E4C-B388-EAD76A298218}">
      <dsp:nvSpPr>
        <dsp:cNvPr id="0" name=""/>
        <dsp:cNvSpPr/>
      </dsp:nvSpPr>
      <dsp:spPr>
        <a:xfrm>
          <a:off x="2194560" y="1676381"/>
          <a:ext cx="3291840" cy="1523627"/>
        </a:xfrm>
        <a:prstGeom prst="rightArrow">
          <a:avLst>
            <a:gd name="adj1" fmla="val 75000"/>
            <a:gd name="adj2" fmla="val 50000"/>
          </a:avLst>
        </a:prstGeom>
        <a:solidFill>
          <a:schemeClr val="accent1">
            <a:alpha val="90000"/>
            <a:tint val="40000"/>
            <a:hueOff val="0"/>
            <a:satOff val="0"/>
            <a:lumOff val="0"/>
            <a:alphaOff val="0"/>
          </a:schemeClr>
        </a:solidFill>
        <a:ln w="25400" cap="flat" cmpd="sng" algn="ctr">
          <a:solidFill>
            <a:schemeClr val="accent1">
              <a:alpha val="90000"/>
              <a:tint val="4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5715" tIns="5715" rIns="5715" bIns="5715" numCol="1" spcCol="1270" anchor="t" anchorCtr="0">
          <a:noAutofit/>
        </a:bodyPr>
        <a:lstStyle/>
        <a:p>
          <a:pPr marL="57150" lvl="1" indent="-57150" algn="l" defTabSz="400050">
            <a:lnSpc>
              <a:spcPct val="90000"/>
            </a:lnSpc>
            <a:spcBef>
              <a:spcPct val="0"/>
            </a:spcBef>
            <a:spcAft>
              <a:spcPct val="15000"/>
            </a:spcAft>
            <a:buFont typeface="Arial" panose="020B0604020202020204" pitchFamily="34" charset="0"/>
            <a:buChar char="•"/>
          </a:pPr>
          <a:r>
            <a:rPr lang="en-US" sz="900" b="1" i="0" u="none" kern="1200"/>
            <a:t>Start 2nd Year Project</a:t>
          </a:r>
          <a:endParaRPr lang="en-US" sz="900" kern="1200"/>
        </a:p>
        <a:p>
          <a:pPr marL="57150" lvl="1" indent="-57150" algn="l" defTabSz="400050">
            <a:lnSpc>
              <a:spcPct val="90000"/>
            </a:lnSpc>
            <a:spcBef>
              <a:spcPct val="0"/>
            </a:spcBef>
            <a:spcAft>
              <a:spcPct val="15000"/>
            </a:spcAft>
            <a:buFont typeface="Arial" panose="020B0604020202020204" pitchFamily="34" charset="0"/>
            <a:buChar char="•"/>
          </a:pPr>
          <a:r>
            <a:rPr lang="en-US" sz="900" b="1" i="0" u="none" kern="1200"/>
            <a:t>Start therapy cases at </a:t>
          </a:r>
          <a:r>
            <a:rPr lang="en-US" sz="900" b="1" i="1" u="none" kern="1200"/>
            <a:t>DHCEPS- </a:t>
          </a:r>
          <a:r>
            <a:rPr lang="en-US" sz="900" b="0" i="0" u="none" kern="1200"/>
            <a:t>typically</a:t>
          </a:r>
          <a:r>
            <a:rPr lang="en-US" sz="900" b="1" i="0" u="none" kern="1200"/>
            <a:t> </a:t>
          </a:r>
          <a:r>
            <a:rPr lang="en-US" sz="900" b="0" i="0" u="none" kern="1200"/>
            <a:t>4 cases in the first year, subsequent years you can request more cases to accrue hours for internship</a:t>
          </a:r>
          <a:endParaRPr lang="en-US" sz="900" b="1" i="0" u="none" kern="1200"/>
        </a:p>
        <a:p>
          <a:pPr marL="57150" lvl="1" indent="-57150" algn="l" defTabSz="400050">
            <a:lnSpc>
              <a:spcPct val="90000"/>
            </a:lnSpc>
            <a:spcBef>
              <a:spcPct val="0"/>
            </a:spcBef>
            <a:spcAft>
              <a:spcPct val="15000"/>
            </a:spcAft>
            <a:buFont typeface="Arial" panose="020B0604020202020204" pitchFamily="34" charset="0"/>
            <a:buChar char="•"/>
          </a:pPr>
          <a:r>
            <a:rPr lang="en-US" sz="900" b="1" i="0" u="none" kern="1200"/>
            <a:t>Seek 3rd yr informal externship </a:t>
          </a:r>
          <a:r>
            <a:rPr lang="en-US" sz="900" b="0" i="0" u="none" kern="1200"/>
            <a:t>on individual bases per discussion with advisor</a:t>
          </a:r>
          <a:endParaRPr lang="en-US" sz="900" b="1" i="0" u="none" kern="1200"/>
        </a:p>
        <a:p>
          <a:pPr marL="57150" lvl="1" indent="-57150" algn="l" defTabSz="400050">
            <a:lnSpc>
              <a:spcPct val="90000"/>
            </a:lnSpc>
            <a:spcBef>
              <a:spcPct val="0"/>
            </a:spcBef>
            <a:spcAft>
              <a:spcPct val="15000"/>
            </a:spcAft>
            <a:buFont typeface="Arial" panose="020B0604020202020204" pitchFamily="34" charset="0"/>
            <a:buChar char="•"/>
          </a:pPr>
          <a:r>
            <a:rPr lang="en-US" sz="900" b="1" i="0" u="none" kern="1200"/>
            <a:t>Complete and file 2nd year project</a:t>
          </a:r>
        </a:p>
      </dsp:txBody>
      <dsp:txXfrm>
        <a:off x="2194560" y="1866834"/>
        <a:ext cx="2720480" cy="1142721"/>
      </dsp:txXfrm>
    </dsp:sp>
    <dsp:sp modelId="{40585F15-CDED-774F-8581-356DC5A9B8D9}">
      <dsp:nvSpPr>
        <dsp:cNvPr id="0" name=""/>
        <dsp:cNvSpPr/>
      </dsp:nvSpPr>
      <dsp:spPr>
        <a:xfrm>
          <a:off x="0" y="1676381"/>
          <a:ext cx="2194560" cy="1523627"/>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67640" tIns="83820" rIns="167640" bIns="83820" numCol="1" spcCol="1270" anchor="ctr" anchorCtr="0">
          <a:noAutofit/>
        </a:bodyPr>
        <a:lstStyle/>
        <a:p>
          <a:pPr marL="0" lvl="0" indent="0" algn="ctr" defTabSz="1955800">
            <a:lnSpc>
              <a:spcPct val="90000"/>
            </a:lnSpc>
            <a:spcBef>
              <a:spcPct val="0"/>
            </a:spcBef>
            <a:spcAft>
              <a:spcPct val="35000"/>
            </a:spcAft>
            <a:buNone/>
          </a:pPr>
          <a:r>
            <a:rPr lang="en-US" sz="4400" kern="1200"/>
            <a:t>2nd year</a:t>
          </a:r>
        </a:p>
      </dsp:txBody>
      <dsp:txXfrm>
        <a:off x="74377" y="1750758"/>
        <a:ext cx="2045806" cy="1374873"/>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40903102-2FFE-6B4B-9DFF-6E103F0C3D2F}">
      <dsp:nvSpPr>
        <dsp:cNvPr id="0" name=""/>
        <dsp:cNvSpPr/>
      </dsp:nvSpPr>
      <dsp:spPr>
        <a:xfrm>
          <a:off x="2194560" y="390"/>
          <a:ext cx="3291840" cy="1523627"/>
        </a:xfrm>
        <a:prstGeom prst="rightArrow">
          <a:avLst>
            <a:gd name="adj1" fmla="val 75000"/>
            <a:gd name="adj2" fmla="val 50000"/>
          </a:avLst>
        </a:prstGeom>
        <a:solidFill>
          <a:schemeClr val="accent1">
            <a:alpha val="90000"/>
            <a:tint val="40000"/>
            <a:hueOff val="0"/>
            <a:satOff val="0"/>
            <a:lumOff val="0"/>
            <a:alphaOff val="0"/>
          </a:schemeClr>
        </a:solidFill>
        <a:ln w="25400" cap="flat" cmpd="sng" algn="ctr">
          <a:solidFill>
            <a:schemeClr val="accent1">
              <a:alpha val="90000"/>
              <a:tint val="4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6350" tIns="6350" rIns="6350" bIns="6350" numCol="1" spcCol="1270" anchor="t" anchorCtr="0">
          <a:noAutofit/>
        </a:bodyPr>
        <a:lstStyle/>
        <a:p>
          <a:pPr marL="57150" lvl="1" indent="-57150" algn="l" defTabSz="444500">
            <a:lnSpc>
              <a:spcPct val="90000"/>
            </a:lnSpc>
            <a:spcBef>
              <a:spcPct val="0"/>
            </a:spcBef>
            <a:spcAft>
              <a:spcPct val="15000"/>
            </a:spcAft>
            <a:buFont typeface="Arial" panose="020B0604020202020204" pitchFamily="34" charset="0"/>
            <a:buChar char="•"/>
          </a:pPr>
          <a:r>
            <a:rPr lang="en-US" sz="1000" b="1" i="0" u="none" kern="1200"/>
            <a:t>Complete and file 2nd yr project by beginning of 3rd yr</a:t>
          </a:r>
          <a:endParaRPr lang="en-US" sz="1000" kern="1200"/>
        </a:p>
        <a:p>
          <a:pPr marL="57150" lvl="1" indent="-57150" algn="l" defTabSz="444500">
            <a:lnSpc>
              <a:spcPct val="90000"/>
            </a:lnSpc>
            <a:spcBef>
              <a:spcPct val="0"/>
            </a:spcBef>
            <a:spcAft>
              <a:spcPct val="15000"/>
            </a:spcAft>
            <a:buFont typeface="Arial" panose="020B0604020202020204" pitchFamily="34" charset="0"/>
            <a:buChar char="•"/>
          </a:pPr>
          <a:r>
            <a:rPr lang="en-US" sz="1000" b="1" i="0" u="none" kern="1200"/>
            <a:t>Present at case conference</a:t>
          </a:r>
        </a:p>
        <a:p>
          <a:pPr marL="57150" lvl="1" indent="-57150" algn="l" defTabSz="444500">
            <a:lnSpc>
              <a:spcPct val="90000"/>
            </a:lnSpc>
            <a:spcBef>
              <a:spcPct val="0"/>
            </a:spcBef>
            <a:spcAft>
              <a:spcPct val="15000"/>
            </a:spcAft>
            <a:buFont typeface="Arial" panose="020B0604020202020204" pitchFamily="34" charset="0"/>
            <a:buChar char="•"/>
          </a:pPr>
          <a:r>
            <a:rPr lang="en-US" sz="1000" b="1" i="0" u="none" kern="1200"/>
            <a:t>CERT Research Presentaton of 2nd year project</a:t>
          </a:r>
        </a:p>
        <a:p>
          <a:pPr marL="57150" lvl="1" indent="-57150" algn="l" defTabSz="444500">
            <a:lnSpc>
              <a:spcPct val="90000"/>
            </a:lnSpc>
            <a:spcBef>
              <a:spcPct val="0"/>
            </a:spcBef>
            <a:spcAft>
              <a:spcPct val="15000"/>
            </a:spcAft>
            <a:buFont typeface="Arial" panose="020B0604020202020204" pitchFamily="34" charset="0"/>
            <a:buChar char="•"/>
          </a:pPr>
          <a:r>
            <a:rPr lang="en-US" sz="1000" b="1" i="0" u="none" kern="1200"/>
            <a:t>File for MS degree</a:t>
          </a:r>
        </a:p>
      </dsp:txBody>
      <dsp:txXfrm>
        <a:off x="2194560" y="190843"/>
        <a:ext cx="2720480" cy="1142721"/>
      </dsp:txXfrm>
    </dsp:sp>
    <dsp:sp modelId="{B8C02D98-E676-1842-8F0E-8056D55E3459}">
      <dsp:nvSpPr>
        <dsp:cNvPr id="0" name=""/>
        <dsp:cNvSpPr/>
      </dsp:nvSpPr>
      <dsp:spPr>
        <a:xfrm>
          <a:off x="0" y="390"/>
          <a:ext cx="2194560" cy="1523627"/>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44780" tIns="72390" rIns="144780" bIns="72390" numCol="1" spcCol="1270" anchor="ctr" anchorCtr="0">
          <a:noAutofit/>
        </a:bodyPr>
        <a:lstStyle/>
        <a:p>
          <a:pPr marL="0" lvl="0" indent="0" algn="ctr" defTabSz="1689100">
            <a:lnSpc>
              <a:spcPct val="90000"/>
            </a:lnSpc>
            <a:spcBef>
              <a:spcPct val="0"/>
            </a:spcBef>
            <a:spcAft>
              <a:spcPct val="35000"/>
            </a:spcAft>
            <a:buNone/>
          </a:pPr>
          <a:r>
            <a:rPr lang="en-US" sz="3800" kern="1200"/>
            <a:t>3rd year</a:t>
          </a:r>
        </a:p>
      </dsp:txBody>
      <dsp:txXfrm>
        <a:off x="74377" y="74767"/>
        <a:ext cx="2045806" cy="1374873"/>
      </dsp:txXfrm>
    </dsp:sp>
    <dsp:sp modelId="{91027A15-9D1B-DA46-B4A8-55FDFFB34B9A}">
      <dsp:nvSpPr>
        <dsp:cNvPr id="0" name=""/>
        <dsp:cNvSpPr/>
      </dsp:nvSpPr>
      <dsp:spPr>
        <a:xfrm>
          <a:off x="2194560" y="1676381"/>
          <a:ext cx="3291840" cy="1523627"/>
        </a:xfrm>
        <a:prstGeom prst="rightArrow">
          <a:avLst>
            <a:gd name="adj1" fmla="val 75000"/>
            <a:gd name="adj2" fmla="val 50000"/>
          </a:avLst>
        </a:prstGeom>
        <a:solidFill>
          <a:schemeClr val="accent1">
            <a:alpha val="90000"/>
            <a:tint val="40000"/>
            <a:hueOff val="0"/>
            <a:satOff val="0"/>
            <a:lumOff val="0"/>
            <a:alphaOff val="0"/>
          </a:schemeClr>
        </a:solidFill>
        <a:ln w="25400" cap="flat" cmpd="sng" algn="ctr">
          <a:solidFill>
            <a:schemeClr val="accent1">
              <a:alpha val="90000"/>
              <a:tint val="4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6350" tIns="6350" rIns="6350" bIns="6350" numCol="1" spcCol="1270" anchor="t" anchorCtr="0">
          <a:noAutofit/>
        </a:bodyPr>
        <a:lstStyle/>
        <a:p>
          <a:pPr marL="57150" lvl="1" indent="-57150" algn="l" defTabSz="444500">
            <a:lnSpc>
              <a:spcPct val="90000"/>
            </a:lnSpc>
            <a:spcBef>
              <a:spcPct val="0"/>
            </a:spcBef>
            <a:spcAft>
              <a:spcPct val="15000"/>
            </a:spcAft>
            <a:buFont typeface="Arial" panose="020B0604020202020204" pitchFamily="34" charset="0"/>
            <a:buChar char="•"/>
          </a:pPr>
          <a:r>
            <a:rPr lang="en-US" sz="1000" b="1" i="0" u="none" kern="1200"/>
            <a:t>Apply for formal externship </a:t>
          </a:r>
          <a:r>
            <a:rPr lang="en-US" sz="1000" b="0" i="0" u="none" kern="1200"/>
            <a:t>-make a list of sites which you think are a "good fit", research site, talk to seniors, discuss with advisor</a:t>
          </a:r>
          <a:endParaRPr lang="en-US" sz="1000" kern="1200"/>
        </a:p>
        <a:p>
          <a:pPr marL="57150" lvl="1" indent="-57150" algn="l" defTabSz="444500">
            <a:lnSpc>
              <a:spcPct val="90000"/>
            </a:lnSpc>
            <a:spcBef>
              <a:spcPct val="0"/>
            </a:spcBef>
            <a:spcAft>
              <a:spcPct val="15000"/>
            </a:spcAft>
            <a:buFont typeface="Arial" panose="020B0604020202020204" pitchFamily="34" charset="0"/>
            <a:buChar char="•"/>
          </a:pPr>
          <a:r>
            <a:rPr lang="en-US" sz="1000" b="1" i="0" u="none" kern="1200"/>
            <a:t>Start work on dissertation </a:t>
          </a:r>
          <a:r>
            <a:rPr lang="en-US" sz="1000" b="0" i="0" u="none" kern="1200"/>
            <a:t>-Some students further develop their second year project into their dissertation. This can some time and expand on research you already have</a:t>
          </a:r>
          <a:endParaRPr lang="en-US" sz="1000" b="1" i="0" u="none" kern="1200"/>
        </a:p>
      </dsp:txBody>
      <dsp:txXfrm>
        <a:off x="2194560" y="1866834"/>
        <a:ext cx="2720480" cy="1142721"/>
      </dsp:txXfrm>
    </dsp:sp>
    <dsp:sp modelId="{B0D1DB62-295C-0948-84D6-6A17B454E011}">
      <dsp:nvSpPr>
        <dsp:cNvPr id="0" name=""/>
        <dsp:cNvSpPr/>
      </dsp:nvSpPr>
      <dsp:spPr>
        <a:xfrm>
          <a:off x="0" y="1676381"/>
          <a:ext cx="2194560" cy="1523627"/>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44780" tIns="72390" rIns="144780" bIns="72390" numCol="1" spcCol="1270" anchor="ctr" anchorCtr="0">
          <a:noAutofit/>
        </a:bodyPr>
        <a:lstStyle/>
        <a:p>
          <a:pPr marL="0" lvl="0" indent="0" algn="ctr" defTabSz="1689100">
            <a:lnSpc>
              <a:spcPct val="90000"/>
            </a:lnSpc>
            <a:spcBef>
              <a:spcPct val="0"/>
            </a:spcBef>
            <a:spcAft>
              <a:spcPct val="35000"/>
            </a:spcAft>
            <a:buNone/>
          </a:pPr>
          <a:r>
            <a:rPr lang="en-US" sz="3800" kern="1200"/>
            <a:t>3rd year cont</a:t>
          </a:r>
        </a:p>
      </dsp:txBody>
      <dsp:txXfrm>
        <a:off x="74377" y="1750758"/>
        <a:ext cx="2045806" cy="1374873"/>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8FE9448-1565-5F4D-972F-22A9EF4D88B8}">
      <dsp:nvSpPr>
        <dsp:cNvPr id="0" name=""/>
        <dsp:cNvSpPr/>
      </dsp:nvSpPr>
      <dsp:spPr>
        <a:xfrm>
          <a:off x="2194560" y="390"/>
          <a:ext cx="3291840" cy="1523627"/>
        </a:xfrm>
        <a:prstGeom prst="rightArrow">
          <a:avLst>
            <a:gd name="adj1" fmla="val 75000"/>
            <a:gd name="adj2" fmla="val 50000"/>
          </a:avLst>
        </a:prstGeom>
        <a:solidFill>
          <a:schemeClr val="accent1">
            <a:alpha val="90000"/>
            <a:tint val="40000"/>
            <a:hueOff val="0"/>
            <a:satOff val="0"/>
            <a:lumOff val="0"/>
            <a:alphaOff val="0"/>
          </a:schemeClr>
        </a:solidFill>
        <a:ln w="25400" cap="flat" cmpd="sng" algn="ctr">
          <a:solidFill>
            <a:schemeClr val="accent1">
              <a:alpha val="90000"/>
              <a:tint val="4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5080" tIns="5080" rIns="5080" bIns="5080" numCol="1" spcCol="1270" anchor="t" anchorCtr="0">
          <a:noAutofit/>
        </a:bodyPr>
        <a:lstStyle/>
        <a:p>
          <a:pPr marL="57150" lvl="1" indent="-57150" algn="l" defTabSz="355600">
            <a:lnSpc>
              <a:spcPct val="90000"/>
            </a:lnSpc>
            <a:spcBef>
              <a:spcPct val="0"/>
            </a:spcBef>
            <a:spcAft>
              <a:spcPct val="15000"/>
            </a:spcAft>
            <a:buFont typeface="Arial" panose="020B0604020202020204" pitchFamily="34" charset="0"/>
            <a:buChar char="•"/>
          </a:pPr>
          <a:r>
            <a:rPr lang="en-US" sz="800" b="1" i="0" u="none" kern="1200"/>
            <a:t>File for MPhil degree</a:t>
          </a:r>
          <a:endParaRPr lang="en-US" sz="800" kern="1200"/>
        </a:p>
        <a:p>
          <a:pPr marL="57150" lvl="1" indent="-57150" algn="l" defTabSz="355600">
            <a:lnSpc>
              <a:spcPct val="90000"/>
            </a:lnSpc>
            <a:spcBef>
              <a:spcPct val="0"/>
            </a:spcBef>
            <a:spcAft>
              <a:spcPct val="15000"/>
            </a:spcAft>
            <a:buChar char="•"/>
          </a:pPr>
          <a:r>
            <a:rPr lang="en-US" sz="800" b="1" i="0" u="none" kern="1200"/>
            <a:t>Hold dissertation proposal </a:t>
          </a:r>
          <a:r>
            <a:rPr lang="en-US" sz="800" b="0" i="0" u="none" kern="1200"/>
            <a:t>-scheduling your committe is harder than expected, start early and request availability one month in advance</a:t>
          </a:r>
          <a:endParaRPr lang="en-US" sz="800" kern="1200"/>
        </a:p>
      </dsp:txBody>
      <dsp:txXfrm>
        <a:off x="2194560" y="190843"/>
        <a:ext cx="2720480" cy="1142721"/>
      </dsp:txXfrm>
    </dsp:sp>
    <dsp:sp modelId="{6E307693-822F-7946-8519-94043AE63003}">
      <dsp:nvSpPr>
        <dsp:cNvPr id="0" name=""/>
        <dsp:cNvSpPr/>
      </dsp:nvSpPr>
      <dsp:spPr>
        <a:xfrm>
          <a:off x="0" y="390"/>
          <a:ext cx="2194560" cy="1523627"/>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48590" tIns="74295" rIns="148590" bIns="74295" numCol="1" spcCol="1270" anchor="ctr" anchorCtr="0">
          <a:noAutofit/>
        </a:bodyPr>
        <a:lstStyle/>
        <a:p>
          <a:pPr marL="0" lvl="0" indent="0" algn="ctr" defTabSz="1733550">
            <a:lnSpc>
              <a:spcPct val="90000"/>
            </a:lnSpc>
            <a:spcBef>
              <a:spcPct val="0"/>
            </a:spcBef>
            <a:spcAft>
              <a:spcPct val="35000"/>
            </a:spcAft>
            <a:buNone/>
          </a:pPr>
          <a:r>
            <a:rPr lang="en-US" sz="3900" kern="1200"/>
            <a:t>4th year</a:t>
          </a:r>
        </a:p>
      </dsp:txBody>
      <dsp:txXfrm>
        <a:off x="74377" y="74767"/>
        <a:ext cx="2045806" cy="1374873"/>
      </dsp:txXfrm>
    </dsp:sp>
    <dsp:sp modelId="{D703E3B1-F993-3F46-BCA2-0B889E1FA868}">
      <dsp:nvSpPr>
        <dsp:cNvPr id="0" name=""/>
        <dsp:cNvSpPr/>
      </dsp:nvSpPr>
      <dsp:spPr>
        <a:xfrm>
          <a:off x="2194560" y="1676381"/>
          <a:ext cx="3291840" cy="1523627"/>
        </a:xfrm>
        <a:prstGeom prst="rightArrow">
          <a:avLst>
            <a:gd name="adj1" fmla="val 75000"/>
            <a:gd name="adj2" fmla="val 50000"/>
          </a:avLst>
        </a:prstGeom>
        <a:solidFill>
          <a:schemeClr val="accent1">
            <a:alpha val="90000"/>
            <a:tint val="40000"/>
            <a:hueOff val="0"/>
            <a:satOff val="0"/>
            <a:lumOff val="0"/>
            <a:alphaOff val="0"/>
          </a:schemeClr>
        </a:solidFill>
        <a:ln w="25400" cap="flat" cmpd="sng" algn="ctr">
          <a:solidFill>
            <a:schemeClr val="accent1">
              <a:alpha val="90000"/>
              <a:tint val="40000"/>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5080" tIns="5080" rIns="5080" bIns="5080" numCol="1" spcCol="1270" anchor="t" anchorCtr="0">
          <a:noAutofit/>
        </a:bodyPr>
        <a:lstStyle/>
        <a:p>
          <a:pPr marL="57150" lvl="1" indent="-57150" algn="l" defTabSz="355600">
            <a:lnSpc>
              <a:spcPct val="90000"/>
            </a:lnSpc>
            <a:spcBef>
              <a:spcPct val="0"/>
            </a:spcBef>
            <a:spcAft>
              <a:spcPct val="15000"/>
            </a:spcAft>
            <a:buFont typeface="Arial" panose="020B0604020202020204" pitchFamily="34" charset="0"/>
            <a:buChar char="•"/>
          </a:pPr>
          <a:r>
            <a:rPr lang="en-US" sz="800" b="1" i="0" u="none" kern="1200"/>
            <a:t>Apply for internship</a:t>
          </a:r>
          <a:endParaRPr lang="en-US" sz="800" kern="1200"/>
        </a:p>
        <a:p>
          <a:pPr marL="57150" lvl="1" indent="-57150" algn="l" defTabSz="355600">
            <a:lnSpc>
              <a:spcPct val="90000"/>
            </a:lnSpc>
            <a:spcBef>
              <a:spcPct val="0"/>
            </a:spcBef>
            <a:spcAft>
              <a:spcPct val="15000"/>
            </a:spcAft>
            <a:buFont typeface="Arial" panose="020B0604020202020204" pitchFamily="34" charset="0"/>
            <a:buChar char="•"/>
          </a:pPr>
          <a:r>
            <a:rPr lang="en-US" sz="800" b="0" i="0" u="none" kern="1200"/>
            <a:t>start your research on site in the summer,reach out to current interns and recent alumni and discuss experiences, the culture and environment at sites changes quickly, make a list of "good fits". Most importantly attend the info session hosted by Dr. Cha, and go through internship resource folder. </a:t>
          </a:r>
        </a:p>
        <a:p>
          <a:pPr marL="57150" lvl="1" indent="-57150" algn="l" defTabSz="355600">
            <a:lnSpc>
              <a:spcPct val="90000"/>
            </a:lnSpc>
            <a:spcBef>
              <a:spcPct val="0"/>
            </a:spcBef>
            <a:spcAft>
              <a:spcPct val="15000"/>
            </a:spcAft>
            <a:buFont typeface="Arial" panose="020B0604020202020204" pitchFamily="34" charset="0"/>
            <a:buChar char="•"/>
          </a:pPr>
          <a:r>
            <a:rPr lang="en-US" sz="800" b="1" i="0" u="none" kern="1200"/>
            <a:t>Hold Advanced Seminar/Data Hearing </a:t>
          </a:r>
          <a:r>
            <a:rPr lang="en-US" sz="800" b="0" i="0" u="none" kern="1200"/>
            <a:t>Optional for 3 paper diss format</a:t>
          </a:r>
          <a:endParaRPr lang="en-US" sz="800" b="1" i="0" u="none" kern="1200"/>
        </a:p>
        <a:p>
          <a:pPr marL="57150" lvl="1" indent="-57150" algn="l" defTabSz="355600">
            <a:lnSpc>
              <a:spcPct val="90000"/>
            </a:lnSpc>
            <a:spcBef>
              <a:spcPct val="0"/>
            </a:spcBef>
            <a:spcAft>
              <a:spcPct val="15000"/>
            </a:spcAft>
            <a:buFont typeface="Arial" panose="020B0604020202020204" pitchFamily="34" charset="0"/>
            <a:buChar char="•"/>
          </a:pPr>
          <a:r>
            <a:rPr lang="en-US" sz="800" b="1" i="0" u="none" kern="1200"/>
            <a:t>Hold Dissertation Defense </a:t>
          </a:r>
        </a:p>
      </dsp:txBody>
      <dsp:txXfrm>
        <a:off x="2194560" y="1866834"/>
        <a:ext cx="2720480" cy="1142721"/>
      </dsp:txXfrm>
    </dsp:sp>
    <dsp:sp modelId="{BDACE21C-F044-2F44-BF72-5C55ECB586A6}">
      <dsp:nvSpPr>
        <dsp:cNvPr id="0" name=""/>
        <dsp:cNvSpPr/>
      </dsp:nvSpPr>
      <dsp:spPr>
        <a:xfrm>
          <a:off x="0" y="1676772"/>
          <a:ext cx="2194560" cy="1523627"/>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48590" tIns="74295" rIns="148590" bIns="74295" numCol="1" spcCol="1270" anchor="ctr" anchorCtr="0">
          <a:noAutofit/>
        </a:bodyPr>
        <a:lstStyle/>
        <a:p>
          <a:pPr marL="0" lvl="0" indent="0" algn="ctr" defTabSz="1733550">
            <a:lnSpc>
              <a:spcPct val="90000"/>
            </a:lnSpc>
            <a:spcBef>
              <a:spcPct val="0"/>
            </a:spcBef>
            <a:spcAft>
              <a:spcPct val="35000"/>
            </a:spcAft>
            <a:buNone/>
          </a:pPr>
          <a:r>
            <a:rPr lang="en-US" sz="3900" kern="1200"/>
            <a:t>4th/5th year</a:t>
          </a:r>
        </a:p>
      </dsp:txBody>
      <dsp:txXfrm>
        <a:off x="74377" y="1751149"/>
        <a:ext cx="2045806" cy="1374873"/>
      </dsp:txXfrm>
    </dsp:sp>
  </dsp:spTree>
</dsp:drawing>
</file>

<file path=word/diagrams/layout1.xml><?xml version="1.0" encoding="utf-8"?>
<dgm:layoutDef xmlns:dgm="http://schemas.openxmlformats.org/drawingml/2006/diagram" xmlns:a="http://schemas.openxmlformats.org/drawingml/2006/main" uniqueId="urn:microsoft.com/office/officeart/2005/8/layout/vList6">
  <dgm:title val=""/>
  <dgm:desc val=""/>
  <dgm:catLst>
    <dgm:cat type="process" pri="22000"/>
    <dgm:cat type="list" pri="17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Lst>
      <dgm:cxnLst>
        <dgm:cxn modelId="4" srcId="0" destId="1" srcOrd="0" destOrd="0"/>
        <dgm:cxn modelId="5" srcId="0" destId="2" srcOrd="1" destOrd="0"/>
        <dgm:cxn modelId="13" srcId="1" destId="11" srcOrd="0" destOrd="0"/>
        <dgm:cxn modelId="14" srcId="1" destId="12" srcOrd="0" destOrd="0"/>
        <dgm:cxn modelId="23" srcId="2" destId="21" srcOrd="0" destOrd="0"/>
        <dgm:cxn modelId="24" srcId="2" destId="22"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dgm:varLst>
    <dgm:alg type="lin">
      <dgm:param type="linDir" val="fromT"/>
    </dgm:alg>
    <dgm:shape xmlns:r="http://schemas.openxmlformats.org/officeDocument/2006/relationships" r:blip="">
      <dgm:adjLst/>
    </dgm:shape>
    <dgm:presOf/>
    <dgm:constrLst>
      <dgm:constr type="w" for="ch" forName="linNode" refType="w"/>
      <dgm:constr type="h" for="ch" forName="linNode" refType="h"/>
      <dgm:constr type="h" for="ch" forName="spacing" refType="h" refFor="ch" refForName="linNode" fact="0.1"/>
      <dgm:constr type="primFontSz" for="des" forName="parentShp" op="equ" val="65"/>
      <dgm:constr type="primFontSz" for="des" forName="childShp" op="equ" val="65"/>
    </dgm:constrLst>
    <dgm:ruleLst/>
    <dgm:forEach name="Name1" axis="ch" ptType="node">
      <dgm:layoutNode name="linNode">
        <dgm:choose name="Name2">
          <dgm:if name="Name3" func="var" arg="dir" op="equ" val="norm">
            <dgm:alg type="lin">
              <dgm:param type="linDir" val="fromL"/>
            </dgm:alg>
          </dgm:if>
          <dgm:else name="Name4">
            <dgm:alg type="lin">
              <dgm:param type="linDir" val="fromR"/>
            </dgm:alg>
          </dgm:else>
        </dgm:choose>
        <dgm:shape xmlns:r="http://schemas.openxmlformats.org/officeDocument/2006/relationships" r:blip="">
          <dgm:adjLst/>
        </dgm:shape>
        <dgm:presOf/>
        <dgm:choose name="Name5">
          <dgm:if name="Name6" func="var" arg="dir" op="equ" val="norm">
            <dgm:constrLst>
              <dgm:constr type="w" for="ch" forName="parentShp" refType="w" fact="0.4"/>
              <dgm:constr type="h" for="ch" forName="parentShp" refType="h"/>
              <dgm:constr type="w" for="ch" forName="childShp" refType="w" fact="0.6"/>
              <dgm:constr type="h" for="ch" forName="childShp" refType="h" refFor="ch" refForName="parentShp"/>
            </dgm:constrLst>
          </dgm:if>
          <dgm:else name="Name7">
            <dgm:constrLst>
              <dgm:constr type="w" for="ch" forName="parentShp" refType="w" fact="0.4"/>
              <dgm:constr type="h" for="ch" forName="parentShp" refType="h"/>
              <dgm:constr type="w" for="ch" forName="childShp" refType="w" fact="0.6"/>
              <dgm:constr type="h" for="ch" forName="childShp" refType="h" refFor="ch" refForName="parentShp"/>
            </dgm:constrLst>
          </dgm:else>
        </dgm:choose>
        <dgm:ruleLst/>
        <dgm:layoutNode name="parentShp" styleLbl="node1">
          <dgm:varLst>
            <dgm:bulletEnabled val="1"/>
          </dgm:varLst>
          <dgm:alg type="tx"/>
          <dgm:shape xmlns:r="http://schemas.openxmlformats.org/officeDocument/2006/relationships" type="roundRect" r:blip="">
            <dgm:adjLst/>
          </dgm:shape>
          <dgm:presOf axis="self" ptType="node"/>
          <dgm:constrLst>
            <dgm:constr type="tMarg" refType="primFontSz" fact="0.15"/>
            <dgm:constr type="bMarg" refType="primFontSz" fact="0.15"/>
            <dgm:constr type="lMarg" refType="primFontSz" fact="0.3"/>
            <dgm:constr type="rMarg" refType="primFontSz" fact="0.3"/>
          </dgm:constrLst>
          <dgm:ruleLst>
            <dgm:rule type="primFontSz" val="5" fact="NaN" max="NaN"/>
          </dgm:ruleLst>
        </dgm:layoutNode>
        <dgm:layoutNode name="childShp" styleLbl="bgAccFollowNode1">
          <dgm:varLst>
            <dgm:bulletEnabled val="1"/>
          </dgm:varLst>
          <dgm:alg type="tx">
            <dgm:param type="stBulletLvl" val="1"/>
          </dgm:alg>
          <dgm:choose name="Name8">
            <dgm:if name="Name9" func="var" arg="dir" op="equ" val="norm">
              <dgm:shape xmlns:r="http://schemas.openxmlformats.org/officeDocument/2006/relationships" type="rightArrow" r:blip="" zOrderOff="-2">
                <dgm:adjLst>
                  <dgm:adj idx="1" val="0.75"/>
                </dgm:adjLst>
              </dgm:shape>
            </dgm:if>
            <dgm:else name="Name10">
              <dgm:shape xmlns:r="http://schemas.openxmlformats.org/officeDocument/2006/relationships" rot="180" type="rightArrow" r:blip="" zOrderOff="-2">
                <dgm:adjLst>
                  <dgm:adj idx="1" val="0.75"/>
                </dgm:adjLst>
              </dgm:shape>
            </dgm:else>
          </dgm:choose>
          <dgm:presOf axis="des" ptType="node"/>
          <dgm:constrLst>
            <dgm:constr type="secFontSz" refType="primFontSz"/>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dgm:forEach name="Name11" axis="followSib" ptType="sibTrans" cnt="1">
        <dgm:layoutNode name="spacing">
          <dgm:alg type="sp"/>
          <dgm:shape xmlns:r="http://schemas.openxmlformats.org/officeDocument/2006/relationships" r:blip="">
            <dgm:adjLst/>
          </dgm:shape>
          <dgm:presOf/>
          <dgm:constrLst/>
          <dgm:ruleLst/>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vList6">
  <dgm:title val=""/>
  <dgm:desc val=""/>
  <dgm:catLst>
    <dgm:cat type="process" pri="22000"/>
    <dgm:cat type="list" pri="17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Lst>
      <dgm:cxnLst>
        <dgm:cxn modelId="4" srcId="0" destId="1" srcOrd="0" destOrd="0"/>
        <dgm:cxn modelId="5" srcId="0" destId="2" srcOrd="1" destOrd="0"/>
        <dgm:cxn modelId="13" srcId="1" destId="11" srcOrd="0" destOrd="0"/>
        <dgm:cxn modelId="14" srcId="1" destId="12" srcOrd="0" destOrd="0"/>
        <dgm:cxn modelId="23" srcId="2" destId="21" srcOrd="0" destOrd="0"/>
        <dgm:cxn modelId="24" srcId="2" destId="22"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dgm:varLst>
    <dgm:alg type="lin">
      <dgm:param type="linDir" val="fromT"/>
    </dgm:alg>
    <dgm:shape xmlns:r="http://schemas.openxmlformats.org/officeDocument/2006/relationships" r:blip="">
      <dgm:adjLst/>
    </dgm:shape>
    <dgm:presOf/>
    <dgm:constrLst>
      <dgm:constr type="w" for="ch" forName="linNode" refType="w"/>
      <dgm:constr type="h" for="ch" forName="linNode" refType="h"/>
      <dgm:constr type="h" for="ch" forName="spacing" refType="h" refFor="ch" refForName="linNode" fact="0.1"/>
      <dgm:constr type="primFontSz" for="des" forName="parentShp" op="equ" val="65"/>
      <dgm:constr type="primFontSz" for="des" forName="childShp" op="equ" val="65"/>
    </dgm:constrLst>
    <dgm:ruleLst/>
    <dgm:forEach name="Name1" axis="ch" ptType="node">
      <dgm:layoutNode name="linNode">
        <dgm:choose name="Name2">
          <dgm:if name="Name3" func="var" arg="dir" op="equ" val="norm">
            <dgm:alg type="lin">
              <dgm:param type="linDir" val="fromL"/>
            </dgm:alg>
          </dgm:if>
          <dgm:else name="Name4">
            <dgm:alg type="lin">
              <dgm:param type="linDir" val="fromR"/>
            </dgm:alg>
          </dgm:else>
        </dgm:choose>
        <dgm:shape xmlns:r="http://schemas.openxmlformats.org/officeDocument/2006/relationships" r:blip="">
          <dgm:adjLst/>
        </dgm:shape>
        <dgm:presOf/>
        <dgm:choose name="Name5">
          <dgm:if name="Name6" func="var" arg="dir" op="equ" val="norm">
            <dgm:constrLst>
              <dgm:constr type="w" for="ch" forName="parentShp" refType="w" fact="0.4"/>
              <dgm:constr type="h" for="ch" forName="parentShp" refType="h"/>
              <dgm:constr type="w" for="ch" forName="childShp" refType="w" fact="0.6"/>
              <dgm:constr type="h" for="ch" forName="childShp" refType="h" refFor="ch" refForName="parentShp"/>
            </dgm:constrLst>
          </dgm:if>
          <dgm:else name="Name7">
            <dgm:constrLst>
              <dgm:constr type="w" for="ch" forName="parentShp" refType="w" fact="0.4"/>
              <dgm:constr type="h" for="ch" forName="parentShp" refType="h"/>
              <dgm:constr type="w" for="ch" forName="childShp" refType="w" fact="0.6"/>
              <dgm:constr type="h" for="ch" forName="childShp" refType="h" refFor="ch" refForName="parentShp"/>
            </dgm:constrLst>
          </dgm:else>
        </dgm:choose>
        <dgm:ruleLst/>
        <dgm:layoutNode name="parentShp" styleLbl="node1">
          <dgm:varLst>
            <dgm:bulletEnabled val="1"/>
          </dgm:varLst>
          <dgm:alg type="tx"/>
          <dgm:shape xmlns:r="http://schemas.openxmlformats.org/officeDocument/2006/relationships" type="roundRect" r:blip="">
            <dgm:adjLst/>
          </dgm:shape>
          <dgm:presOf axis="self" ptType="node"/>
          <dgm:constrLst>
            <dgm:constr type="tMarg" refType="primFontSz" fact="0.15"/>
            <dgm:constr type="bMarg" refType="primFontSz" fact="0.15"/>
            <dgm:constr type="lMarg" refType="primFontSz" fact="0.3"/>
            <dgm:constr type="rMarg" refType="primFontSz" fact="0.3"/>
          </dgm:constrLst>
          <dgm:ruleLst>
            <dgm:rule type="primFontSz" val="5" fact="NaN" max="NaN"/>
          </dgm:ruleLst>
        </dgm:layoutNode>
        <dgm:layoutNode name="childShp" styleLbl="bgAccFollowNode1">
          <dgm:varLst>
            <dgm:bulletEnabled val="1"/>
          </dgm:varLst>
          <dgm:alg type="tx">
            <dgm:param type="stBulletLvl" val="1"/>
          </dgm:alg>
          <dgm:choose name="Name8">
            <dgm:if name="Name9" func="var" arg="dir" op="equ" val="norm">
              <dgm:shape xmlns:r="http://schemas.openxmlformats.org/officeDocument/2006/relationships" type="rightArrow" r:blip="" zOrderOff="-2">
                <dgm:adjLst>
                  <dgm:adj idx="1" val="0.75"/>
                </dgm:adjLst>
              </dgm:shape>
            </dgm:if>
            <dgm:else name="Name10">
              <dgm:shape xmlns:r="http://schemas.openxmlformats.org/officeDocument/2006/relationships" rot="180" type="rightArrow" r:blip="" zOrderOff="-2">
                <dgm:adjLst>
                  <dgm:adj idx="1" val="0.75"/>
                </dgm:adjLst>
              </dgm:shape>
            </dgm:else>
          </dgm:choose>
          <dgm:presOf axis="des" ptType="node"/>
          <dgm:constrLst>
            <dgm:constr type="secFontSz" refType="primFontSz"/>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dgm:forEach name="Name11" axis="followSib" ptType="sibTrans" cnt="1">
        <dgm:layoutNode name="spacing">
          <dgm:alg type="sp"/>
          <dgm:shape xmlns:r="http://schemas.openxmlformats.org/officeDocument/2006/relationships" r:blip="">
            <dgm:adjLst/>
          </dgm:shape>
          <dgm:presOf/>
          <dgm:constrLst/>
          <dgm:ruleLst/>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5/8/layout/vList6">
  <dgm:title val=""/>
  <dgm:desc val=""/>
  <dgm:catLst>
    <dgm:cat type="process" pri="22000"/>
    <dgm:cat type="list" pri="17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Lst>
      <dgm:cxnLst>
        <dgm:cxn modelId="4" srcId="0" destId="1" srcOrd="0" destOrd="0"/>
        <dgm:cxn modelId="5" srcId="0" destId="2" srcOrd="1" destOrd="0"/>
        <dgm:cxn modelId="13" srcId="1" destId="11" srcOrd="0" destOrd="0"/>
        <dgm:cxn modelId="14" srcId="1" destId="12" srcOrd="0" destOrd="0"/>
        <dgm:cxn modelId="23" srcId="2" destId="21" srcOrd="0" destOrd="0"/>
        <dgm:cxn modelId="24" srcId="2" destId="22" srcOrd="0"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dgm:varLst>
    <dgm:alg type="lin">
      <dgm:param type="linDir" val="fromT"/>
    </dgm:alg>
    <dgm:shape xmlns:r="http://schemas.openxmlformats.org/officeDocument/2006/relationships" r:blip="">
      <dgm:adjLst/>
    </dgm:shape>
    <dgm:presOf/>
    <dgm:constrLst>
      <dgm:constr type="w" for="ch" forName="linNode" refType="w"/>
      <dgm:constr type="h" for="ch" forName="linNode" refType="h"/>
      <dgm:constr type="h" for="ch" forName="spacing" refType="h" refFor="ch" refForName="linNode" fact="0.1"/>
      <dgm:constr type="primFontSz" for="des" forName="parentShp" op="equ" val="65"/>
      <dgm:constr type="primFontSz" for="des" forName="childShp" op="equ" val="65"/>
    </dgm:constrLst>
    <dgm:ruleLst/>
    <dgm:forEach name="Name1" axis="ch" ptType="node">
      <dgm:layoutNode name="linNode">
        <dgm:choose name="Name2">
          <dgm:if name="Name3" func="var" arg="dir" op="equ" val="norm">
            <dgm:alg type="lin">
              <dgm:param type="linDir" val="fromL"/>
            </dgm:alg>
          </dgm:if>
          <dgm:else name="Name4">
            <dgm:alg type="lin">
              <dgm:param type="linDir" val="fromR"/>
            </dgm:alg>
          </dgm:else>
        </dgm:choose>
        <dgm:shape xmlns:r="http://schemas.openxmlformats.org/officeDocument/2006/relationships" r:blip="">
          <dgm:adjLst/>
        </dgm:shape>
        <dgm:presOf/>
        <dgm:choose name="Name5">
          <dgm:if name="Name6" func="var" arg="dir" op="equ" val="norm">
            <dgm:constrLst>
              <dgm:constr type="w" for="ch" forName="parentShp" refType="w" fact="0.4"/>
              <dgm:constr type="h" for="ch" forName="parentShp" refType="h"/>
              <dgm:constr type="w" for="ch" forName="childShp" refType="w" fact="0.6"/>
              <dgm:constr type="h" for="ch" forName="childShp" refType="h" refFor="ch" refForName="parentShp"/>
            </dgm:constrLst>
          </dgm:if>
          <dgm:else name="Name7">
            <dgm:constrLst>
              <dgm:constr type="w" for="ch" forName="parentShp" refType="w" fact="0.4"/>
              <dgm:constr type="h" for="ch" forName="parentShp" refType="h"/>
              <dgm:constr type="w" for="ch" forName="childShp" refType="w" fact="0.6"/>
              <dgm:constr type="h" for="ch" forName="childShp" refType="h" refFor="ch" refForName="parentShp"/>
            </dgm:constrLst>
          </dgm:else>
        </dgm:choose>
        <dgm:ruleLst/>
        <dgm:layoutNode name="parentShp" styleLbl="node1">
          <dgm:varLst>
            <dgm:bulletEnabled val="1"/>
          </dgm:varLst>
          <dgm:alg type="tx"/>
          <dgm:shape xmlns:r="http://schemas.openxmlformats.org/officeDocument/2006/relationships" type="roundRect" r:blip="">
            <dgm:adjLst/>
          </dgm:shape>
          <dgm:presOf axis="self" ptType="node"/>
          <dgm:constrLst>
            <dgm:constr type="tMarg" refType="primFontSz" fact="0.15"/>
            <dgm:constr type="bMarg" refType="primFontSz" fact="0.15"/>
            <dgm:constr type="lMarg" refType="primFontSz" fact="0.3"/>
            <dgm:constr type="rMarg" refType="primFontSz" fact="0.3"/>
          </dgm:constrLst>
          <dgm:ruleLst>
            <dgm:rule type="primFontSz" val="5" fact="NaN" max="NaN"/>
          </dgm:ruleLst>
        </dgm:layoutNode>
        <dgm:layoutNode name="childShp" styleLbl="bgAccFollowNode1">
          <dgm:varLst>
            <dgm:bulletEnabled val="1"/>
          </dgm:varLst>
          <dgm:alg type="tx">
            <dgm:param type="stBulletLvl" val="1"/>
          </dgm:alg>
          <dgm:choose name="Name8">
            <dgm:if name="Name9" func="var" arg="dir" op="equ" val="norm">
              <dgm:shape xmlns:r="http://schemas.openxmlformats.org/officeDocument/2006/relationships" type="rightArrow" r:blip="" zOrderOff="-2">
                <dgm:adjLst>
                  <dgm:adj idx="1" val="0.75"/>
                </dgm:adjLst>
              </dgm:shape>
            </dgm:if>
            <dgm:else name="Name10">
              <dgm:shape xmlns:r="http://schemas.openxmlformats.org/officeDocument/2006/relationships" rot="180" type="rightArrow" r:blip="" zOrderOff="-2">
                <dgm:adjLst>
                  <dgm:adj idx="1" val="0.75"/>
                </dgm:adjLst>
              </dgm:shape>
            </dgm:else>
          </dgm:choose>
          <dgm:presOf axis="des" ptType="node"/>
          <dgm:constrLst>
            <dgm:constr type="secFontSz" refType="primFontSz"/>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dgm:forEach name="Name11" axis="followSib" ptType="sibTrans" cnt="1">
        <dgm:layoutNode name="spacing">
          <dgm:alg type="sp"/>
          <dgm:shape xmlns:r="http://schemas.openxmlformats.org/officeDocument/2006/relationships" r:blip="">
            <dgm:adjLst/>
          </dgm:shape>
          <dgm:presO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hs2Gj/vsXR3xmEJKFw98C1aDFpw==">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</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111</Pages>
  <Words>38492</Words>
  <Characters>219408</Characters>
  <Application>Microsoft Office Word</Application>
  <DocSecurity>0</DocSecurity>
  <Lines>1828</Lines>
  <Paragraphs>514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257386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hv2009</dc:creator>
  <cp:lastModifiedBy>rcs35</cp:lastModifiedBy>
  <cp:revision>2</cp:revision>
  <cp:lastPrinted>2024-07-23T16:38:00Z</cp:lastPrinted>
  <dcterms:created xsi:type="dcterms:W3CDTF">2024-09-03T13:02:00Z</dcterms:created>
  <dcterms:modified xsi:type="dcterms:W3CDTF">2024-09-03T13:02:00Z</dcterms:modified>
</cp:coreProperties>
</file>